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DCE2" w14:textId="24AAD25D" w:rsidR="00196527" w:rsidRPr="00F4086D" w:rsidRDefault="00196527" w:rsidP="00BC02AF">
      <w:pPr>
        <w:spacing w:before="120" w:after="120" w:line="286" w:lineRule="auto"/>
        <w:rPr>
          <w:rFonts w:ascii="Montserrat" w:hAnsi="Montserrat"/>
          <w:b/>
          <w:bCs/>
          <w:color w:val="0E759C" w:themeColor="accent4"/>
          <w:sz w:val="28"/>
          <w:szCs w:val="28"/>
        </w:rPr>
      </w:pPr>
      <w:r w:rsidRPr="00F4086D">
        <w:rPr>
          <w:rFonts w:ascii="Montserrat" w:hAnsi="Montserrat"/>
          <w:b/>
          <w:bCs/>
          <w:color w:val="0E759C" w:themeColor="accent4"/>
          <w:sz w:val="28"/>
          <w:szCs w:val="28"/>
        </w:rPr>
        <w:t xml:space="preserve">OCEAN Project </w:t>
      </w:r>
      <w:r w:rsidR="000E67C5">
        <w:rPr>
          <w:rFonts w:ascii="Montserrat" w:hAnsi="Montserrat"/>
          <w:b/>
          <w:bCs/>
          <w:color w:val="0E759C" w:themeColor="accent4"/>
          <w:sz w:val="28"/>
          <w:szCs w:val="28"/>
        </w:rPr>
        <w:t xml:space="preserve">Safeguarding </w:t>
      </w:r>
      <w:r w:rsidRPr="00F4086D">
        <w:rPr>
          <w:rFonts w:ascii="Montserrat" w:hAnsi="Montserrat"/>
          <w:b/>
          <w:bCs/>
          <w:color w:val="0E759C" w:themeColor="accent4"/>
          <w:sz w:val="28"/>
          <w:szCs w:val="28"/>
        </w:rPr>
        <w:t>Action Plan</w:t>
      </w:r>
    </w:p>
    <w:p w14:paraId="5A862DEA" w14:textId="684B7901" w:rsidR="001F4D08" w:rsidRPr="008C48E1" w:rsidRDefault="0043178B" w:rsidP="00BC02AF">
      <w:pPr>
        <w:spacing w:before="120" w:after="120" w:line="286" w:lineRule="auto"/>
        <w:rPr>
          <w:rFonts w:ascii="Montserrat" w:hAnsi="Montserrat"/>
          <w:b/>
          <w:color w:val="0E759C" w:themeColor="accent4"/>
          <w:sz w:val="24"/>
          <w:szCs w:val="24"/>
        </w:rPr>
      </w:pPr>
      <w:r w:rsidRPr="008C48E1">
        <w:rPr>
          <w:rFonts w:ascii="Montserrat" w:hAnsi="Montserrat"/>
          <w:b/>
          <w:color w:val="0E759C" w:themeColor="accent4"/>
          <w:sz w:val="24"/>
          <w:szCs w:val="24"/>
        </w:rPr>
        <w:t>Safeguarding</w:t>
      </w:r>
      <w:r w:rsidR="0011283A" w:rsidRPr="008C48E1">
        <w:rPr>
          <w:rFonts w:ascii="Montserrat" w:hAnsi="Montserrat"/>
          <w:b/>
          <w:color w:val="0E759C" w:themeColor="accent4"/>
          <w:sz w:val="24"/>
          <w:szCs w:val="24"/>
        </w:rPr>
        <w:t xml:space="preserve"> against</w:t>
      </w:r>
      <w:r w:rsidRPr="008C48E1">
        <w:rPr>
          <w:rFonts w:ascii="Montserrat" w:hAnsi="Montserrat"/>
          <w:b/>
          <w:color w:val="0E759C" w:themeColor="accent4"/>
          <w:sz w:val="24"/>
          <w:szCs w:val="24"/>
        </w:rPr>
        <w:t xml:space="preserve"> Sexual Exploitation, Abuse and Harassment (SEAH)</w:t>
      </w:r>
    </w:p>
    <w:p w14:paraId="43BFEB62" w14:textId="0DAABC40" w:rsidR="0011283A" w:rsidRPr="00E74D3B" w:rsidRDefault="00AA5F80" w:rsidP="00BC02AF">
      <w:pPr>
        <w:pStyle w:val="ListBullet"/>
        <w:numPr>
          <w:ilvl w:val="0"/>
          <w:numId w:val="0"/>
        </w:numPr>
        <w:spacing w:before="120" w:after="120" w:line="286" w:lineRule="auto"/>
        <w:contextualSpacing w:val="0"/>
        <w:jc w:val="both"/>
        <w:rPr>
          <w:rFonts w:ascii="Montserrat" w:hAnsi="Montserrat"/>
        </w:rPr>
      </w:pPr>
      <w:r w:rsidRPr="00E74D3B">
        <w:rPr>
          <w:rFonts w:ascii="Montserrat" w:hAnsi="Montserrat"/>
        </w:rPr>
        <w:t xml:space="preserve">Defra has a zero tolerance for inaction to tackling abuse and/or exploitation of any person (staff, implementing partners, the public and beneficiaries) by staff or associated personnel involved in grants. </w:t>
      </w:r>
      <w:r w:rsidR="00E74D3B" w:rsidRPr="00E74D3B">
        <w:rPr>
          <w:rFonts w:ascii="Montserrat" w:hAnsi="Montserrat"/>
        </w:rPr>
        <w:t>All p</w:t>
      </w:r>
      <w:r w:rsidR="0011283A" w:rsidRPr="00E74D3B">
        <w:rPr>
          <w:rFonts w:ascii="Montserrat" w:hAnsi="Montserrat"/>
        </w:rPr>
        <w:t>rojects need to ensure that everyone regardless of age, gender identity, disability, sexual orientation, ethnic origin, or other protected characteristic</w:t>
      </w:r>
      <w:r w:rsidR="00204CE8">
        <w:rPr>
          <w:rFonts w:ascii="Montserrat" w:hAnsi="Montserrat"/>
        </w:rPr>
        <w:t xml:space="preserve"> </w:t>
      </w:r>
      <w:r w:rsidR="006B37DD">
        <w:rPr>
          <w:rFonts w:ascii="Montserrat" w:hAnsi="Montserrat"/>
        </w:rPr>
        <w:t>is</w:t>
      </w:r>
      <w:r w:rsidR="008C48E1">
        <w:rPr>
          <w:rFonts w:ascii="Montserrat" w:hAnsi="Montserrat"/>
        </w:rPr>
        <w:t xml:space="preserve"> </w:t>
      </w:r>
      <w:r w:rsidR="0011283A" w:rsidRPr="00E74D3B">
        <w:rPr>
          <w:rFonts w:ascii="Montserrat" w:hAnsi="Montserrat"/>
        </w:rPr>
        <w:t>protected from all forms of harm, abuse, neglect and exploitation.</w:t>
      </w:r>
    </w:p>
    <w:p w14:paraId="4CDE92E6" w14:textId="6CEC6D41" w:rsidR="001A46CF" w:rsidRDefault="00FF32CE" w:rsidP="00BC02AF">
      <w:pPr>
        <w:pStyle w:val="ListBullet"/>
        <w:numPr>
          <w:ilvl w:val="0"/>
          <w:numId w:val="0"/>
        </w:numPr>
        <w:spacing w:before="120" w:after="120" w:line="286" w:lineRule="auto"/>
        <w:contextualSpacing w:val="0"/>
        <w:jc w:val="both"/>
        <w:rPr>
          <w:rFonts w:ascii="Montserrat" w:hAnsi="Montserrat"/>
        </w:rPr>
      </w:pPr>
      <w:r>
        <w:rPr>
          <w:rFonts w:ascii="Montserrat" w:hAnsi="Montserrat"/>
        </w:rPr>
        <w:t>All</w:t>
      </w:r>
      <w:r w:rsidR="00F4086D">
        <w:rPr>
          <w:rFonts w:ascii="Montserrat" w:hAnsi="Montserrat"/>
        </w:rPr>
        <w:t xml:space="preserve"> grantees</w:t>
      </w:r>
      <w:r>
        <w:rPr>
          <w:rFonts w:ascii="Montserrat" w:hAnsi="Montserrat"/>
        </w:rPr>
        <w:t xml:space="preserve"> are required to</w:t>
      </w:r>
      <w:r w:rsidR="00F4086D">
        <w:rPr>
          <w:rFonts w:ascii="Montserrat" w:hAnsi="Montserrat"/>
        </w:rPr>
        <w:t xml:space="preserve"> demonstrate how their projects are</w:t>
      </w:r>
      <w:r w:rsidR="00573016">
        <w:rPr>
          <w:rFonts w:ascii="Montserrat" w:hAnsi="Montserrat"/>
        </w:rPr>
        <w:t xml:space="preserve"> </w:t>
      </w:r>
      <w:r>
        <w:rPr>
          <w:rFonts w:ascii="Montserrat" w:hAnsi="Montserrat"/>
        </w:rPr>
        <w:t>protecting all stakeholders</w:t>
      </w:r>
      <w:r w:rsidR="00573016">
        <w:rPr>
          <w:rFonts w:ascii="Montserrat" w:hAnsi="Montserrat"/>
        </w:rPr>
        <w:t xml:space="preserve"> against </w:t>
      </w:r>
      <w:r w:rsidR="00533B1D" w:rsidRPr="00533B1D">
        <w:rPr>
          <w:rFonts w:ascii="Montserrat" w:hAnsi="Montserrat"/>
        </w:rPr>
        <w:t xml:space="preserve">Safeguarding against Sexual Exploitation, Abuse and Harassment </w:t>
      </w:r>
      <w:r w:rsidR="00533B1D">
        <w:rPr>
          <w:rFonts w:ascii="Montserrat" w:hAnsi="Montserrat"/>
        </w:rPr>
        <w:t>(</w:t>
      </w:r>
      <w:r w:rsidR="00573016">
        <w:rPr>
          <w:rFonts w:ascii="Montserrat" w:hAnsi="Montserrat"/>
        </w:rPr>
        <w:t>SEAH</w:t>
      </w:r>
      <w:r w:rsidR="00533B1D">
        <w:rPr>
          <w:rFonts w:ascii="Montserrat" w:hAnsi="Montserrat"/>
        </w:rPr>
        <w:t>)</w:t>
      </w:r>
      <w:r w:rsidR="001A3813">
        <w:rPr>
          <w:rFonts w:ascii="Montserrat" w:hAnsi="Montserrat"/>
        </w:rPr>
        <w:t>. A</w:t>
      </w:r>
      <w:r w:rsidR="008C48E1">
        <w:rPr>
          <w:rFonts w:ascii="Montserrat" w:hAnsi="Montserrat"/>
        </w:rPr>
        <w:t xml:space="preserve"> </w:t>
      </w:r>
      <w:r w:rsidR="001A3813">
        <w:rPr>
          <w:rFonts w:ascii="Montserrat" w:hAnsi="Montserrat"/>
        </w:rPr>
        <w:t xml:space="preserve">Safeguarding Action Plan </w:t>
      </w:r>
      <w:r w:rsidR="007C1335">
        <w:rPr>
          <w:rFonts w:ascii="Montserrat" w:hAnsi="Montserrat"/>
        </w:rPr>
        <w:t>can</w:t>
      </w:r>
      <w:r w:rsidR="00204CE8">
        <w:rPr>
          <w:rFonts w:ascii="Montserrat" w:hAnsi="Montserrat"/>
        </w:rPr>
        <w:t xml:space="preserve"> ensure key actions and principles are integrated </w:t>
      </w:r>
      <w:r w:rsidR="00196527">
        <w:rPr>
          <w:rFonts w:ascii="Montserrat" w:hAnsi="Montserrat"/>
        </w:rPr>
        <w:t xml:space="preserve">into </w:t>
      </w:r>
      <w:r w:rsidR="00F4086D">
        <w:rPr>
          <w:rFonts w:ascii="Montserrat" w:hAnsi="Montserrat"/>
        </w:rPr>
        <w:t xml:space="preserve">their </w:t>
      </w:r>
      <w:r w:rsidR="00196527">
        <w:rPr>
          <w:rFonts w:ascii="Montserrat" w:hAnsi="Montserrat"/>
        </w:rPr>
        <w:t>project’s planning, implementation, monitoring and evaluation processes</w:t>
      </w:r>
      <w:r w:rsidR="00F4086D">
        <w:rPr>
          <w:rFonts w:ascii="Montserrat" w:hAnsi="Montserrat"/>
        </w:rPr>
        <w:t>, at project onboarding</w:t>
      </w:r>
      <w:r w:rsidR="0008704F">
        <w:rPr>
          <w:rFonts w:ascii="Montserrat" w:hAnsi="Montserrat"/>
        </w:rPr>
        <w:t xml:space="preserve"> and can help demonstrate your project’s ongoing commitment to </w:t>
      </w:r>
      <w:r w:rsidR="00BB2937">
        <w:rPr>
          <w:rFonts w:ascii="Montserrat" w:hAnsi="Montserrat"/>
        </w:rPr>
        <w:t xml:space="preserve">Protection from </w:t>
      </w:r>
      <w:r w:rsidR="009A7BBF">
        <w:rPr>
          <w:rFonts w:ascii="Montserrat" w:hAnsi="Montserrat"/>
        </w:rPr>
        <w:t>Sexual Exploitation, Abuse and Harassment (</w:t>
      </w:r>
      <w:r w:rsidR="0008704F">
        <w:rPr>
          <w:rFonts w:ascii="Montserrat" w:hAnsi="Montserrat"/>
        </w:rPr>
        <w:t>PSEAH</w:t>
      </w:r>
      <w:r w:rsidR="009A7BBF">
        <w:rPr>
          <w:rFonts w:ascii="Montserrat" w:hAnsi="Montserrat"/>
        </w:rPr>
        <w:t>)</w:t>
      </w:r>
      <w:r w:rsidR="00F4086D">
        <w:rPr>
          <w:rFonts w:ascii="Montserrat" w:hAnsi="Montserrat"/>
        </w:rPr>
        <w:t xml:space="preserve">. </w:t>
      </w:r>
    </w:p>
    <w:p w14:paraId="0B88B1E0" w14:textId="1C5DDECE" w:rsidR="005F14D0" w:rsidRPr="00BC02AF" w:rsidRDefault="005F14D0" w:rsidP="00BC02AF">
      <w:pPr>
        <w:pStyle w:val="ListBullet"/>
        <w:numPr>
          <w:ilvl w:val="0"/>
          <w:numId w:val="0"/>
        </w:numPr>
        <w:spacing w:before="120" w:after="120" w:line="286" w:lineRule="auto"/>
        <w:contextualSpacing w:val="0"/>
        <w:jc w:val="both"/>
        <w:rPr>
          <w:rFonts w:ascii="Montserrat" w:hAnsi="Montserrat"/>
        </w:rPr>
      </w:pPr>
      <w:r>
        <w:rPr>
          <w:rFonts w:ascii="Montserrat" w:hAnsi="Montserrat"/>
        </w:rPr>
        <w:t xml:space="preserve">In addition to meeting minimum requirements for funding, Defra require all projects to demonstrate ongoing </w:t>
      </w:r>
      <w:r w:rsidR="00ED5733">
        <w:rPr>
          <w:rFonts w:ascii="Montserrat" w:hAnsi="Montserrat"/>
        </w:rPr>
        <w:t xml:space="preserve">compliance and commitment to preventing </w:t>
      </w:r>
      <w:r w:rsidR="00E05667">
        <w:rPr>
          <w:rFonts w:ascii="Montserrat" w:hAnsi="Montserrat"/>
        </w:rPr>
        <w:t xml:space="preserve">SEAH. The Safeguarding Action Plan is designed to help projects </w:t>
      </w:r>
      <w:r w:rsidR="00ED6343">
        <w:rPr>
          <w:rFonts w:ascii="Montserrat" w:hAnsi="Montserrat"/>
        </w:rPr>
        <w:t xml:space="preserve">review areas that need improvement and make continual improvements. </w:t>
      </w:r>
      <w:r w:rsidR="00DA310F">
        <w:rPr>
          <w:rFonts w:ascii="Montserrat" w:hAnsi="Montserrat"/>
        </w:rPr>
        <w:t>As part of your grant agreement, projects must uphold</w:t>
      </w:r>
      <w:r w:rsidR="007C3F81">
        <w:rPr>
          <w:rFonts w:ascii="Montserrat" w:hAnsi="Montserrat"/>
        </w:rPr>
        <w:t xml:space="preserve"> common </w:t>
      </w:r>
      <w:hyperlink r:id="rId12" w:anchor="part2" w:history="1">
        <w:r w:rsidR="007C3F81" w:rsidRPr="001D4898">
          <w:rPr>
            <w:rStyle w:val="Hyperlink"/>
            <w:rFonts w:ascii="Montserrat" w:hAnsi="Montserrat"/>
          </w:rPr>
          <w:t>safeguarding principles</w:t>
        </w:r>
      </w:hyperlink>
      <w:r w:rsidR="00271B6D">
        <w:rPr>
          <w:rFonts w:ascii="Montserrat" w:hAnsi="Montserrat"/>
        </w:rPr>
        <w:t xml:space="preserve">. </w:t>
      </w:r>
    </w:p>
    <w:p w14:paraId="6F07959B" w14:textId="4FCB69CE" w:rsidR="00790C6B" w:rsidRPr="00F4086D" w:rsidRDefault="00196527" w:rsidP="00BC02AF">
      <w:pPr>
        <w:pStyle w:val="ListBullet"/>
        <w:numPr>
          <w:ilvl w:val="0"/>
          <w:numId w:val="0"/>
        </w:numPr>
        <w:spacing w:before="120" w:after="120" w:line="286" w:lineRule="auto"/>
        <w:contextualSpacing w:val="0"/>
        <w:jc w:val="both"/>
        <w:rPr>
          <w:rFonts w:ascii="Montserrat" w:hAnsi="Montserrat"/>
          <w:b/>
          <w:bCs/>
          <w:color w:val="0E759C" w:themeColor="accent4"/>
        </w:rPr>
      </w:pPr>
      <w:r w:rsidRPr="00F4086D">
        <w:rPr>
          <w:rFonts w:ascii="Montserrat" w:hAnsi="Montserrat"/>
          <w:b/>
          <w:bCs/>
          <w:color w:val="0E759C" w:themeColor="accent4"/>
        </w:rPr>
        <w:t xml:space="preserve">Completing your </w:t>
      </w:r>
      <w:r w:rsidR="003865B9">
        <w:rPr>
          <w:rFonts w:ascii="Montserrat" w:hAnsi="Montserrat"/>
          <w:b/>
          <w:bCs/>
          <w:color w:val="0E759C" w:themeColor="accent4"/>
        </w:rPr>
        <w:t>Safeguarding</w:t>
      </w:r>
      <w:r w:rsidRPr="00F4086D">
        <w:rPr>
          <w:rFonts w:ascii="Montserrat" w:hAnsi="Montserrat"/>
          <w:b/>
          <w:bCs/>
          <w:color w:val="0E759C" w:themeColor="accent4"/>
        </w:rPr>
        <w:t xml:space="preserve"> Action Plan</w:t>
      </w:r>
    </w:p>
    <w:p w14:paraId="6BC220F3" w14:textId="6CC14AC9" w:rsidR="00F4086D" w:rsidRDefault="00A10562" w:rsidP="00BC02AF">
      <w:pPr>
        <w:pStyle w:val="ListBullet"/>
        <w:numPr>
          <w:ilvl w:val="0"/>
          <w:numId w:val="0"/>
        </w:numPr>
        <w:spacing w:before="120" w:after="120" w:line="286" w:lineRule="auto"/>
        <w:contextualSpacing w:val="0"/>
        <w:jc w:val="both"/>
        <w:rPr>
          <w:rFonts w:ascii="Montserrat" w:hAnsi="Montserrat"/>
        </w:rPr>
      </w:pPr>
      <w:r>
        <w:rPr>
          <w:rFonts w:ascii="Montserrat" w:hAnsi="Montserrat"/>
        </w:rPr>
        <w:t>C</w:t>
      </w:r>
      <w:r w:rsidR="00196527">
        <w:rPr>
          <w:rFonts w:ascii="Montserrat" w:hAnsi="Montserrat"/>
        </w:rPr>
        <w:t xml:space="preserve">omplete your </w:t>
      </w:r>
      <w:r w:rsidR="003865B9">
        <w:rPr>
          <w:rFonts w:ascii="Montserrat" w:hAnsi="Montserrat"/>
        </w:rPr>
        <w:t>Safeguarding</w:t>
      </w:r>
      <w:r w:rsidR="00196527">
        <w:rPr>
          <w:rFonts w:ascii="Montserrat" w:hAnsi="Montserrat"/>
        </w:rPr>
        <w:t xml:space="preserve"> Action Plan </w:t>
      </w:r>
      <w:r w:rsidR="00B11CF1">
        <w:rPr>
          <w:rFonts w:ascii="Montserrat" w:hAnsi="Montserrat"/>
        </w:rPr>
        <w:t>using</w:t>
      </w:r>
      <w:r w:rsidR="00196527">
        <w:rPr>
          <w:rFonts w:ascii="Montserrat" w:hAnsi="Montserrat"/>
        </w:rPr>
        <w:t xml:space="preserve"> the template below. The template has been developed </w:t>
      </w:r>
      <w:r w:rsidR="00581C0A">
        <w:rPr>
          <w:rFonts w:ascii="Montserrat" w:hAnsi="Montserrat"/>
        </w:rPr>
        <w:t>based on</w:t>
      </w:r>
      <w:r w:rsidR="00D84FFF">
        <w:rPr>
          <w:rFonts w:ascii="Montserrat" w:hAnsi="Montserrat"/>
        </w:rPr>
        <w:t xml:space="preserve"> the six </w:t>
      </w:r>
      <w:r w:rsidR="001F592D">
        <w:rPr>
          <w:rFonts w:ascii="Montserrat" w:hAnsi="Montserrat"/>
        </w:rPr>
        <w:t xml:space="preserve">minimum recommended actions as outlined in the </w:t>
      </w:r>
      <w:hyperlink r:id="rId13" w:history="1">
        <w:r w:rsidR="00581C0A" w:rsidRPr="0036774C">
          <w:rPr>
            <w:rStyle w:val="Hyperlink"/>
            <w:rFonts w:ascii="Montserrat" w:hAnsi="Montserrat"/>
          </w:rPr>
          <w:t>Common Approach to PSEAH guide (</w:t>
        </w:r>
        <w:r w:rsidR="001F592D" w:rsidRPr="0036774C">
          <w:rPr>
            <w:rStyle w:val="Hyperlink"/>
            <w:rFonts w:ascii="Montserrat" w:hAnsi="Montserrat"/>
          </w:rPr>
          <w:t>CAPSEAH</w:t>
        </w:r>
        <w:r w:rsidR="00581C0A" w:rsidRPr="0036774C">
          <w:rPr>
            <w:rStyle w:val="Hyperlink"/>
            <w:rFonts w:ascii="Montserrat" w:hAnsi="Montserrat"/>
          </w:rPr>
          <w:t>)</w:t>
        </w:r>
      </w:hyperlink>
      <w:r w:rsidR="00866799">
        <w:rPr>
          <w:rFonts w:ascii="Montserrat" w:hAnsi="Montserrat"/>
        </w:rPr>
        <w:t>.</w:t>
      </w:r>
      <w:r w:rsidR="00196527">
        <w:rPr>
          <w:rFonts w:ascii="Montserrat" w:hAnsi="Montserrat"/>
        </w:rPr>
        <w:t xml:space="preserve"> Guidance and examples have been included in </w:t>
      </w:r>
      <w:r w:rsidR="008314E9">
        <w:rPr>
          <w:rFonts w:ascii="Montserrat" w:hAnsi="Montserrat"/>
        </w:rPr>
        <w:t xml:space="preserve">the </w:t>
      </w:r>
      <w:r w:rsidR="00196527">
        <w:rPr>
          <w:rFonts w:ascii="Montserrat" w:hAnsi="Montserrat"/>
        </w:rPr>
        <w:t xml:space="preserve">template in red. Please delete this before submitting your </w:t>
      </w:r>
      <w:r w:rsidR="003865B9">
        <w:rPr>
          <w:rFonts w:ascii="Montserrat" w:hAnsi="Montserrat"/>
        </w:rPr>
        <w:t>Safeguarding</w:t>
      </w:r>
      <w:r w:rsidR="00196527">
        <w:rPr>
          <w:rFonts w:ascii="Montserrat" w:hAnsi="Montserrat"/>
        </w:rPr>
        <w:t xml:space="preserve"> Action Plan.</w:t>
      </w:r>
    </w:p>
    <w:p w14:paraId="000FDE0A" w14:textId="0949BC15" w:rsidR="00866799" w:rsidRDefault="00866799" w:rsidP="00BC02AF">
      <w:pPr>
        <w:pStyle w:val="ListBullet"/>
        <w:numPr>
          <w:ilvl w:val="0"/>
          <w:numId w:val="0"/>
        </w:numPr>
        <w:spacing w:before="120" w:after="120" w:line="286" w:lineRule="auto"/>
        <w:contextualSpacing w:val="0"/>
        <w:jc w:val="both"/>
        <w:rPr>
          <w:rFonts w:ascii="Montserrat" w:hAnsi="Montserrat"/>
        </w:rPr>
      </w:pPr>
      <w:r>
        <w:rPr>
          <w:rFonts w:ascii="Montserrat" w:hAnsi="Montserrat"/>
        </w:rPr>
        <w:t xml:space="preserve">All examples have been taken from the </w:t>
      </w:r>
      <w:hyperlink r:id="rId14" w:history="1">
        <w:r w:rsidRPr="0036774C">
          <w:rPr>
            <w:rStyle w:val="Hyperlink"/>
            <w:rFonts w:ascii="Montserrat" w:hAnsi="Montserrat"/>
          </w:rPr>
          <w:t>Practical Guidance section of the CAPSEAH website</w:t>
        </w:r>
      </w:hyperlink>
      <w:r>
        <w:rPr>
          <w:rFonts w:ascii="Montserrat" w:hAnsi="Montserrat"/>
        </w:rPr>
        <w:t xml:space="preserve">. </w:t>
      </w:r>
      <w:r w:rsidR="00F810D2">
        <w:rPr>
          <w:rFonts w:ascii="Montserrat" w:hAnsi="Montserrat"/>
        </w:rPr>
        <w:t xml:space="preserve">We have included examples of actions that can be taken at either the project level or organisation level. Please ensure at least one action is </w:t>
      </w:r>
      <w:r w:rsidR="00600DEB">
        <w:rPr>
          <w:rFonts w:ascii="Montserrat" w:hAnsi="Montserrat"/>
        </w:rPr>
        <w:t>completed under each minimum recommended action.</w:t>
      </w:r>
    </w:p>
    <w:p w14:paraId="743B4270" w14:textId="7FCBA048" w:rsidR="00A11DB0" w:rsidRDefault="00985839" w:rsidP="00BC02AF">
      <w:pPr>
        <w:pStyle w:val="ListBullet"/>
        <w:numPr>
          <w:ilvl w:val="0"/>
          <w:numId w:val="0"/>
        </w:numPr>
        <w:spacing w:before="120" w:after="120" w:line="286" w:lineRule="auto"/>
        <w:contextualSpacing w:val="0"/>
        <w:jc w:val="both"/>
        <w:rPr>
          <w:rFonts w:ascii="Montserrat" w:hAnsi="Montserrat"/>
        </w:rPr>
      </w:pPr>
      <w:r w:rsidRPr="49826033">
        <w:rPr>
          <w:rFonts w:ascii="Montserrat" w:hAnsi="Montserrat"/>
        </w:rPr>
        <w:t xml:space="preserve">The </w:t>
      </w:r>
      <w:r w:rsidR="004C74AC" w:rsidRPr="024EBA30">
        <w:rPr>
          <w:rFonts w:ascii="Montserrat" w:hAnsi="Montserrat"/>
        </w:rPr>
        <w:t>Safeguarding A</w:t>
      </w:r>
      <w:r w:rsidRPr="024EBA30">
        <w:rPr>
          <w:rFonts w:ascii="Montserrat" w:hAnsi="Montserrat"/>
        </w:rPr>
        <w:t xml:space="preserve">ction </w:t>
      </w:r>
      <w:r w:rsidR="004C74AC" w:rsidRPr="024EBA30">
        <w:rPr>
          <w:rFonts w:ascii="Montserrat" w:hAnsi="Montserrat"/>
        </w:rPr>
        <w:t>P</w:t>
      </w:r>
      <w:r w:rsidRPr="49826033">
        <w:rPr>
          <w:rFonts w:ascii="Montserrat" w:hAnsi="Montserrat"/>
        </w:rPr>
        <w:t xml:space="preserve">lan </w:t>
      </w:r>
      <w:r w:rsidR="006D46FC" w:rsidRPr="49826033">
        <w:rPr>
          <w:rFonts w:ascii="Montserrat" w:hAnsi="Montserrat"/>
        </w:rPr>
        <w:t>will support your project to take clearly defined actions to prevent SEAH</w:t>
      </w:r>
      <w:r w:rsidR="00966D5A" w:rsidRPr="49826033">
        <w:rPr>
          <w:rFonts w:ascii="Montserrat" w:hAnsi="Montserrat"/>
        </w:rPr>
        <w:t xml:space="preserve"> and </w:t>
      </w:r>
      <w:r w:rsidR="6D8BAD29" w:rsidRPr="49826033">
        <w:rPr>
          <w:rFonts w:ascii="Montserrat" w:hAnsi="Montserrat"/>
        </w:rPr>
        <w:t>ensure PSEAH</w:t>
      </w:r>
      <w:r w:rsidR="00966D5A" w:rsidRPr="49826033">
        <w:rPr>
          <w:rFonts w:ascii="Montserrat" w:hAnsi="Montserrat"/>
        </w:rPr>
        <w:t xml:space="preserve"> measures are </w:t>
      </w:r>
      <w:r w:rsidR="00F01F01" w:rsidRPr="024EBA30">
        <w:rPr>
          <w:rFonts w:ascii="Montserrat" w:hAnsi="Montserrat"/>
        </w:rPr>
        <w:t xml:space="preserve">evident </w:t>
      </w:r>
      <w:r w:rsidR="00966D5A" w:rsidRPr="49826033">
        <w:rPr>
          <w:rFonts w:ascii="Montserrat" w:hAnsi="Montserrat"/>
        </w:rPr>
        <w:t>throughout the project lifecycle.</w:t>
      </w:r>
      <w:r w:rsidR="00A11DB0" w:rsidRPr="49826033">
        <w:rPr>
          <w:rFonts w:ascii="Montserrat" w:hAnsi="Montserrat"/>
        </w:rPr>
        <w:t xml:space="preserve"> You should use this as an opportunity to demonstrate </w:t>
      </w:r>
      <w:r w:rsidR="00F01F01" w:rsidRPr="024EBA30">
        <w:rPr>
          <w:rFonts w:ascii="Montserrat" w:hAnsi="Montserrat"/>
        </w:rPr>
        <w:t>your organisation</w:t>
      </w:r>
      <w:r w:rsidR="2BE0251F" w:rsidRPr="024EBA30">
        <w:rPr>
          <w:rFonts w:ascii="Montserrat" w:hAnsi="Montserrat"/>
        </w:rPr>
        <w:t>’</w:t>
      </w:r>
      <w:r w:rsidR="00F01F01" w:rsidRPr="024EBA30">
        <w:rPr>
          <w:rFonts w:ascii="Montserrat" w:hAnsi="Montserrat"/>
        </w:rPr>
        <w:t xml:space="preserve">s </w:t>
      </w:r>
      <w:r w:rsidR="0059035F" w:rsidRPr="49826033">
        <w:rPr>
          <w:rFonts w:ascii="Montserrat" w:hAnsi="Montserrat"/>
        </w:rPr>
        <w:t>ongoing commitment  protecting people from SEAH within your project</w:t>
      </w:r>
      <w:r w:rsidR="00A11DB0" w:rsidRPr="49826033">
        <w:rPr>
          <w:rFonts w:ascii="Montserrat" w:hAnsi="Montserrat"/>
        </w:rPr>
        <w:t>.</w:t>
      </w:r>
      <w:r w:rsidR="000E5EE9" w:rsidRPr="49826033">
        <w:rPr>
          <w:rFonts w:ascii="Montserrat" w:hAnsi="Montserrat"/>
        </w:rPr>
        <w:t xml:space="preserve"> </w:t>
      </w:r>
    </w:p>
    <w:p w14:paraId="75902786" w14:textId="7F2A9FB4" w:rsidR="00196527" w:rsidRPr="00F4086D" w:rsidRDefault="003B2E42" w:rsidP="00BC02AF">
      <w:pPr>
        <w:pStyle w:val="ListBullet"/>
        <w:numPr>
          <w:ilvl w:val="0"/>
          <w:numId w:val="0"/>
        </w:numPr>
        <w:spacing w:before="120" w:after="120" w:line="286" w:lineRule="auto"/>
        <w:contextualSpacing w:val="0"/>
        <w:jc w:val="both"/>
        <w:rPr>
          <w:rFonts w:ascii="Montserrat" w:hAnsi="Montserrat"/>
          <w:b/>
          <w:bCs/>
          <w:color w:val="0E759C" w:themeColor="accent4"/>
        </w:rPr>
      </w:pPr>
      <w:r>
        <w:rPr>
          <w:rFonts w:ascii="Montserrat" w:hAnsi="Montserrat"/>
          <w:b/>
          <w:bCs/>
          <w:color w:val="0E759C" w:themeColor="accent4"/>
        </w:rPr>
        <w:t xml:space="preserve">Submission and </w:t>
      </w:r>
      <w:r w:rsidR="00196527" w:rsidRPr="00F4086D">
        <w:rPr>
          <w:rFonts w:ascii="Montserrat" w:hAnsi="Montserrat"/>
          <w:b/>
          <w:bCs/>
          <w:color w:val="0E759C" w:themeColor="accent4"/>
        </w:rPr>
        <w:t>Reporting</w:t>
      </w:r>
    </w:p>
    <w:p w14:paraId="5A02B32C" w14:textId="1AEE21CC" w:rsidR="003B2E42" w:rsidRDefault="003B2E42" w:rsidP="00BC02AF">
      <w:pPr>
        <w:pStyle w:val="ListBullet"/>
        <w:numPr>
          <w:ilvl w:val="0"/>
          <w:numId w:val="0"/>
        </w:numPr>
        <w:spacing w:before="120" w:after="120" w:line="286" w:lineRule="auto"/>
        <w:contextualSpacing w:val="0"/>
        <w:jc w:val="both"/>
        <w:rPr>
          <w:rFonts w:ascii="Montserrat" w:hAnsi="Montserrat"/>
        </w:rPr>
      </w:pPr>
      <w:r>
        <w:rPr>
          <w:rFonts w:ascii="Montserrat" w:hAnsi="Montserrat"/>
        </w:rPr>
        <w:t xml:space="preserve">We suggest that you develop your </w:t>
      </w:r>
      <w:r w:rsidR="000D56FE">
        <w:rPr>
          <w:rFonts w:ascii="Montserrat" w:hAnsi="Montserrat"/>
        </w:rPr>
        <w:t>Safeguarding A</w:t>
      </w:r>
      <w:r>
        <w:rPr>
          <w:rFonts w:ascii="Montserrat" w:hAnsi="Montserrat"/>
        </w:rPr>
        <w:t xml:space="preserve">ction </w:t>
      </w:r>
      <w:r w:rsidR="000D56FE">
        <w:rPr>
          <w:rFonts w:ascii="Montserrat" w:hAnsi="Montserrat"/>
        </w:rPr>
        <w:t>P</w:t>
      </w:r>
      <w:r>
        <w:rPr>
          <w:rFonts w:ascii="Montserrat" w:hAnsi="Montserrat"/>
        </w:rPr>
        <w:t xml:space="preserve">lan </w:t>
      </w:r>
      <w:r w:rsidR="000F66A3">
        <w:rPr>
          <w:rFonts w:ascii="Montserrat" w:hAnsi="Montserrat"/>
        </w:rPr>
        <w:t xml:space="preserve">during the implementation phase of your project </w:t>
      </w:r>
      <w:r w:rsidR="00E47002">
        <w:rPr>
          <w:rFonts w:ascii="Montserrat" w:hAnsi="Montserrat"/>
        </w:rPr>
        <w:t>and submit with the Annual Report each year.</w:t>
      </w:r>
    </w:p>
    <w:p w14:paraId="7336DE12" w14:textId="04565A2C" w:rsidR="00196527" w:rsidRDefault="00196527" w:rsidP="00BC02AF">
      <w:pPr>
        <w:pStyle w:val="ListBullet"/>
        <w:numPr>
          <w:ilvl w:val="0"/>
          <w:numId w:val="0"/>
        </w:numPr>
        <w:spacing w:before="120" w:after="120" w:line="286" w:lineRule="auto"/>
        <w:contextualSpacing w:val="0"/>
        <w:jc w:val="both"/>
        <w:rPr>
          <w:rFonts w:ascii="Montserrat" w:hAnsi="Montserrat"/>
        </w:rPr>
      </w:pPr>
      <w:r>
        <w:rPr>
          <w:rFonts w:ascii="Montserrat" w:hAnsi="Montserrat"/>
        </w:rPr>
        <w:t>This will provide you with the opportunity to comment on any key successes or challenges experienced in relation to</w:t>
      </w:r>
      <w:r w:rsidR="004E1AD7">
        <w:rPr>
          <w:rFonts w:ascii="Montserrat" w:hAnsi="Montserrat"/>
        </w:rPr>
        <w:t xml:space="preserve"> Safeguarding </w:t>
      </w:r>
      <w:r w:rsidR="0094759E">
        <w:rPr>
          <w:rFonts w:ascii="Montserrat" w:hAnsi="Montserrat"/>
        </w:rPr>
        <w:t>and SEAH</w:t>
      </w:r>
      <w:r w:rsidR="004E1AD7">
        <w:rPr>
          <w:rFonts w:ascii="Montserrat" w:hAnsi="Montserrat"/>
        </w:rPr>
        <w:t xml:space="preserve"> </w:t>
      </w:r>
      <w:r>
        <w:rPr>
          <w:rFonts w:ascii="Montserrat" w:hAnsi="Montserrat"/>
        </w:rPr>
        <w:t>during the implementation of your project.</w:t>
      </w:r>
    </w:p>
    <w:p w14:paraId="152092AB" w14:textId="25DE87A1" w:rsidR="00196527" w:rsidRPr="00F4086D" w:rsidRDefault="00196527" w:rsidP="00BC02AF">
      <w:pPr>
        <w:pStyle w:val="ListBullet"/>
        <w:numPr>
          <w:ilvl w:val="0"/>
          <w:numId w:val="0"/>
        </w:numPr>
        <w:spacing w:before="120" w:after="120" w:line="286" w:lineRule="auto"/>
        <w:contextualSpacing w:val="0"/>
        <w:rPr>
          <w:rFonts w:ascii="Montserrat" w:hAnsi="Montserrat"/>
          <w:color w:val="0E759C" w:themeColor="accent4"/>
        </w:rPr>
      </w:pPr>
      <w:r w:rsidRPr="00F4086D">
        <w:rPr>
          <w:rFonts w:ascii="Montserrat" w:hAnsi="Montserrat"/>
          <w:b/>
          <w:bCs/>
          <w:color w:val="0E759C" w:themeColor="accent4"/>
        </w:rPr>
        <w:t>Help and Support</w:t>
      </w:r>
    </w:p>
    <w:p w14:paraId="18DBAAFE" w14:textId="12B34AEF" w:rsidR="00F4086D" w:rsidRDefault="00773ADA" w:rsidP="00BC02AF">
      <w:pPr>
        <w:pStyle w:val="ListBullet"/>
        <w:numPr>
          <w:ilvl w:val="0"/>
          <w:numId w:val="0"/>
        </w:numPr>
        <w:spacing w:before="120" w:after="120" w:line="286" w:lineRule="auto"/>
        <w:contextualSpacing w:val="0"/>
        <w:jc w:val="both"/>
        <w:rPr>
          <w:rFonts w:ascii="Montserrat" w:hAnsi="Montserrat"/>
        </w:rPr>
        <w:sectPr w:rsidR="00F4086D" w:rsidSect="003B2E42">
          <w:headerReference w:type="even" r:id="rId15"/>
          <w:headerReference w:type="default" r:id="rId16"/>
          <w:footerReference w:type="even" r:id="rId17"/>
          <w:footerReference w:type="default" r:id="rId18"/>
          <w:headerReference w:type="first" r:id="rId19"/>
          <w:footerReference w:type="first" r:id="rId20"/>
          <w:pgSz w:w="11909" w:h="16834" w:code="9"/>
          <w:pgMar w:top="720" w:right="720" w:bottom="720" w:left="720" w:header="720" w:footer="720" w:gutter="0"/>
          <w:cols w:space="720"/>
          <w:docGrid w:linePitch="299"/>
        </w:sectPr>
      </w:pPr>
      <w:r>
        <w:rPr>
          <w:rFonts w:ascii="Montserrat" w:hAnsi="Montserrat"/>
        </w:rPr>
        <w:t>If you have any questions about how to fill in this template</w:t>
      </w:r>
      <w:r w:rsidR="00196527">
        <w:rPr>
          <w:rFonts w:ascii="Montserrat" w:hAnsi="Montserrat"/>
        </w:rPr>
        <w:t xml:space="preserve"> or need support</w:t>
      </w:r>
      <w:r>
        <w:rPr>
          <w:rFonts w:ascii="Montserrat" w:hAnsi="Montserrat"/>
        </w:rPr>
        <w:t xml:space="preserve">, </w:t>
      </w:r>
      <w:r w:rsidR="00196527">
        <w:rPr>
          <w:rFonts w:ascii="Montserrat" w:hAnsi="Montserrat"/>
        </w:rPr>
        <w:t xml:space="preserve">then </w:t>
      </w:r>
      <w:r>
        <w:rPr>
          <w:rFonts w:ascii="Montserrat" w:hAnsi="Montserrat"/>
        </w:rPr>
        <w:t xml:space="preserve">please contact our Helpdesk at </w:t>
      </w:r>
      <w:hyperlink r:id="rId21" w:history="1">
        <w:r w:rsidR="00196527" w:rsidRPr="00A20F0B">
          <w:rPr>
            <w:rStyle w:val="Hyperlink"/>
            <w:rFonts w:ascii="Montserrat" w:hAnsi="Montserrat"/>
          </w:rPr>
          <w:t>reports@oceangrants.org.uk</w:t>
        </w:r>
      </w:hyperlink>
      <w:r>
        <w:rPr>
          <w:rFonts w:ascii="Montserrat" w:hAnsi="Montserrat"/>
        </w:rPr>
        <w:t xml:space="preserve">, referencing your </w:t>
      </w:r>
      <w:r w:rsidR="00196527">
        <w:rPr>
          <w:rFonts w:ascii="Montserrat" w:hAnsi="Montserrat"/>
        </w:rPr>
        <w:t>project</w:t>
      </w:r>
      <w:r>
        <w:rPr>
          <w:rFonts w:ascii="Montserrat" w:hAnsi="Montserrat"/>
        </w:rPr>
        <w:t xml:space="preserve"> reference</w:t>
      </w:r>
      <w:r w:rsidR="00196527">
        <w:rPr>
          <w:rFonts w:ascii="Montserrat" w:hAnsi="Montserrat"/>
        </w:rPr>
        <w:t>,</w:t>
      </w:r>
      <w:r>
        <w:rPr>
          <w:rFonts w:ascii="Montserrat" w:hAnsi="Montserrat"/>
        </w:rPr>
        <w:t xml:space="preserve"> and a member of the OCEAN Grant Administration Team will be in touch</w:t>
      </w:r>
      <w:r w:rsidR="00196527">
        <w:rPr>
          <w:rFonts w:ascii="Montserrat" w:hAnsi="Montserrat"/>
        </w:rPr>
        <w:t>.</w:t>
      </w:r>
      <w:r w:rsidR="00BC02AF">
        <w:rPr>
          <w:rFonts w:ascii="Montserrat" w:hAnsi="Montserrat"/>
        </w:rPr>
        <w:t xml:space="preserve"> </w:t>
      </w:r>
      <w:r w:rsidR="004064CE">
        <w:rPr>
          <w:rFonts w:ascii="Montserrat" w:hAnsi="Montserrat"/>
        </w:rPr>
        <w:t xml:space="preserve"> </w:t>
      </w:r>
    </w:p>
    <w:p w14:paraId="73A08551" w14:textId="157F0E32" w:rsidR="00CE3C0F" w:rsidRPr="00F4086D" w:rsidRDefault="00CE3C0F" w:rsidP="00CE3C0F">
      <w:pPr>
        <w:pStyle w:val="ListBullet"/>
        <w:numPr>
          <w:ilvl w:val="0"/>
          <w:numId w:val="0"/>
        </w:numPr>
        <w:spacing w:before="120" w:after="120" w:line="286" w:lineRule="auto"/>
        <w:contextualSpacing w:val="0"/>
        <w:jc w:val="center"/>
        <w:rPr>
          <w:rFonts w:ascii="Montserrat" w:hAnsi="Montserrat"/>
          <w:b/>
          <w:bCs/>
          <w:color w:val="0E759C" w:themeColor="accent4"/>
          <w:sz w:val="28"/>
          <w:szCs w:val="24"/>
        </w:rPr>
      </w:pPr>
      <w:r w:rsidRPr="00F4086D">
        <w:rPr>
          <w:rFonts w:ascii="Montserrat" w:hAnsi="Montserrat"/>
          <w:b/>
          <w:bCs/>
          <w:color w:val="0E759C" w:themeColor="accent4"/>
          <w:sz w:val="28"/>
          <w:szCs w:val="24"/>
        </w:rPr>
        <w:lastRenderedPageBreak/>
        <w:t xml:space="preserve">OCEAN </w:t>
      </w:r>
      <w:r>
        <w:rPr>
          <w:rFonts w:ascii="Montserrat" w:hAnsi="Montserrat"/>
          <w:b/>
          <w:bCs/>
          <w:color w:val="0E759C" w:themeColor="accent4"/>
          <w:sz w:val="28"/>
          <w:szCs w:val="24"/>
        </w:rPr>
        <w:t>Safeguarding against Sexual Exploitation Abuse and Harassment (SEAH</w:t>
      </w:r>
      <w:r w:rsidRPr="00F4086D">
        <w:rPr>
          <w:rFonts w:ascii="Montserrat" w:hAnsi="Montserrat"/>
          <w:b/>
          <w:bCs/>
          <w:color w:val="0E759C" w:themeColor="accent4"/>
          <w:sz w:val="28"/>
          <w:szCs w:val="24"/>
        </w:rPr>
        <w:t>) Action Plan</w:t>
      </w:r>
    </w:p>
    <w:tbl>
      <w:tblPr>
        <w:tblStyle w:val="TableGrid"/>
        <w:tblW w:w="15648" w:type="dxa"/>
        <w:tblInd w:w="-147" w:type="dxa"/>
        <w:tblLook w:val="04A0" w:firstRow="1" w:lastRow="0" w:firstColumn="1" w:lastColumn="0" w:noHBand="0" w:noVBand="1"/>
      </w:tblPr>
      <w:tblGrid>
        <w:gridCol w:w="2608"/>
        <w:gridCol w:w="5216"/>
        <w:gridCol w:w="2524"/>
        <w:gridCol w:w="5300"/>
      </w:tblGrid>
      <w:tr w:rsidR="00CE3C0F" w:rsidRPr="00D12EB3" w14:paraId="0177AD02" w14:textId="77777777" w:rsidTr="001411FA">
        <w:tc>
          <w:tcPr>
            <w:tcW w:w="2608" w:type="dxa"/>
            <w:shd w:val="clear" w:color="auto" w:fill="0E759C" w:themeFill="accent4"/>
          </w:tcPr>
          <w:p w14:paraId="702764BE" w14:textId="77777777" w:rsidR="00CE3C0F" w:rsidRPr="00D12EB3" w:rsidRDefault="00CE3C0F" w:rsidP="0007658E">
            <w:pPr>
              <w:spacing w:before="60" w:after="60" w:line="286" w:lineRule="auto"/>
              <w:rPr>
                <w:rFonts w:ascii="Montserrat" w:hAnsi="Montserrat"/>
                <w:b/>
                <w:bCs/>
                <w:color w:val="FFFFFF" w:themeColor="background1"/>
              </w:rPr>
            </w:pPr>
            <w:r>
              <w:rPr>
                <w:rFonts w:ascii="Montserrat" w:hAnsi="Montserrat"/>
                <w:b/>
                <w:bCs/>
                <w:color w:val="FFFFFF" w:themeColor="background1"/>
              </w:rPr>
              <w:t>Project</w:t>
            </w:r>
            <w:r w:rsidRPr="00D12EB3">
              <w:rPr>
                <w:rFonts w:ascii="Montserrat" w:hAnsi="Montserrat"/>
                <w:b/>
                <w:bCs/>
                <w:color w:val="FFFFFF" w:themeColor="background1"/>
              </w:rPr>
              <w:t xml:space="preserve"> Reference:</w:t>
            </w:r>
          </w:p>
        </w:tc>
        <w:tc>
          <w:tcPr>
            <w:tcW w:w="5216" w:type="dxa"/>
          </w:tcPr>
          <w:p w14:paraId="3250B1A7" w14:textId="77777777" w:rsidR="00CE3C0F" w:rsidRPr="00D12EB3" w:rsidRDefault="00CE3C0F" w:rsidP="0007658E">
            <w:pPr>
              <w:spacing w:before="60" w:after="60" w:line="286" w:lineRule="auto"/>
              <w:rPr>
                <w:rFonts w:ascii="Montserrat" w:hAnsi="Montserrat"/>
              </w:rPr>
            </w:pPr>
          </w:p>
        </w:tc>
        <w:tc>
          <w:tcPr>
            <w:tcW w:w="2524" w:type="dxa"/>
            <w:shd w:val="clear" w:color="auto" w:fill="0E759C" w:themeFill="accent4"/>
          </w:tcPr>
          <w:p w14:paraId="5CBC2B68" w14:textId="77777777" w:rsidR="00CE3C0F" w:rsidRPr="00FD095D" w:rsidRDefault="00CE3C0F" w:rsidP="0007658E">
            <w:pPr>
              <w:spacing w:before="60" w:after="60" w:line="286" w:lineRule="auto"/>
              <w:rPr>
                <w:rFonts w:ascii="Montserrat" w:hAnsi="Montserrat"/>
                <w:b/>
                <w:bCs/>
                <w:color w:val="FFFFFF" w:themeColor="background1"/>
              </w:rPr>
            </w:pPr>
            <w:r w:rsidRPr="00D12EB3">
              <w:rPr>
                <w:rFonts w:ascii="Montserrat" w:hAnsi="Montserrat"/>
                <w:b/>
                <w:bCs/>
                <w:color w:val="FFFFFF" w:themeColor="background1"/>
              </w:rPr>
              <w:t>Project Title:</w:t>
            </w:r>
          </w:p>
        </w:tc>
        <w:tc>
          <w:tcPr>
            <w:tcW w:w="5300" w:type="dxa"/>
          </w:tcPr>
          <w:p w14:paraId="39DA2985" w14:textId="77777777" w:rsidR="00CE3C0F" w:rsidRPr="00D12EB3" w:rsidRDefault="00CE3C0F" w:rsidP="0007658E">
            <w:pPr>
              <w:spacing w:before="60" w:after="60" w:line="286" w:lineRule="auto"/>
              <w:rPr>
                <w:rFonts w:ascii="Montserrat" w:hAnsi="Montserrat"/>
              </w:rPr>
            </w:pPr>
          </w:p>
        </w:tc>
      </w:tr>
      <w:tr w:rsidR="00CE3C0F" w:rsidRPr="00D12EB3" w14:paraId="4CCC4671" w14:textId="77777777" w:rsidTr="001411FA">
        <w:tc>
          <w:tcPr>
            <w:tcW w:w="2608" w:type="dxa"/>
            <w:shd w:val="clear" w:color="auto" w:fill="0E759C" w:themeFill="accent4"/>
          </w:tcPr>
          <w:p w14:paraId="6734E976" w14:textId="77777777" w:rsidR="00CE3C0F" w:rsidRPr="00D12EB3" w:rsidRDefault="00CE3C0F" w:rsidP="0007658E">
            <w:pPr>
              <w:spacing w:before="60" w:after="60" w:line="286" w:lineRule="auto"/>
              <w:rPr>
                <w:rFonts w:ascii="Montserrat" w:hAnsi="Montserrat"/>
                <w:b/>
                <w:bCs/>
                <w:color w:val="FFFFFF" w:themeColor="background1"/>
              </w:rPr>
            </w:pPr>
            <w:r>
              <w:rPr>
                <w:rFonts w:ascii="Montserrat" w:hAnsi="Montserrat"/>
                <w:b/>
                <w:bCs/>
                <w:color w:val="FFFFFF" w:themeColor="background1"/>
              </w:rPr>
              <w:t>Project Start Date:</w:t>
            </w:r>
          </w:p>
        </w:tc>
        <w:tc>
          <w:tcPr>
            <w:tcW w:w="5216" w:type="dxa"/>
          </w:tcPr>
          <w:p w14:paraId="73ED357F" w14:textId="77777777" w:rsidR="00CE3C0F" w:rsidRPr="00D12EB3" w:rsidRDefault="00CE3C0F" w:rsidP="0007658E">
            <w:pPr>
              <w:spacing w:before="60" w:after="60" w:line="286" w:lineRule="auto"/>
              <w:rPr>
                <w:rFonts w:ascii="Montserrat" w:hAnsi="Montserrat"/>
              </w:rPr>
            </w:pPr>
          </w:p>
        </w:tc>
        <w:tc>
          <w:tcPr>
            <w:tcW w:w="2524" w:type="dxa"/>
            <w:shd w:val="clear" w:color="auto" w:fill="0E759C" w:themeFill="accent4"/>
          </w:tcPr>
          <w:p w14:paraId="6E2A4870" w14:textId="77777777" w:rsidR="00CE3C0F" w:rsidRPr="00FD095D" w:rsidRDefault="00CE3C0F" w:rsidP="0007658E">
            <w:pPr>
              <w:spacing w:before="60" w:after="60" w:line="286" w:lineRule="auto"/>
              <w:rPr>
                <w:rFonts w:ascii="Montserrat" w:hAnsi="Montserrat"/>
                <w:b/>
                <w:bCs/>
                <w:color w:val="FFFFFF" w:themeColor="background1"/>
              </w:rPr>
            </w:pPr>
            <w:r w:rsidRPr="00FD095D">
              <w:rPr>
                <w:rFonts w:ascii="Montserrat" w:hAnsi="Montserrat"/>
                <w:b/>
                <w:bCs/>
                <w:color w:val="FFFFFF" w:themeColor="background1"/>
              </w:rPr>
              <w:t>Completed by:</w:t>
            </w:r>
          </w:p>
        </w:tc>
        <w:tc>
          <w:tcPr>
            <w:tcW w:w="5300" w:type="dxa"/>
          </w:tcPr>
          <w:p w14:paraId="6729E1E7" w14:textId="77777777" w:rsidR="00CE3C0F" w:rsidRPr="00D12EB3" w:rsidRDefault="00CE3C0F" w:rsidP="0007658E">
            <w:pPr>
              <w:spacing w:before="60" w:after="60" w:line="286" w:lineRule="auto"/>
              <w:rPr>
                <w:rFonts w:ascii="Montserrat" w:hAnsi="Montserrat"/>
              </w:rPr>
            </w:pPr>
          </w:p>
        </w:tc>
      </w:tr>
      <w:tr w:rsidR="00CE3C0F" w:rsidRPr="00D12EB3" w14:paraId="4948F29A" w14:textId="77777777" w:rsidTr="001411FA">
        <w:tc>
          <w:tcPr>
            <w:tcW w:w="2608" w:type="dxa"/>
            <w:shd w:val="clear" w:color="auto" w:fill="0E759C" w:themeFill="accent4"/>
          </w:tcPr>
          <w:p w14:paraId="53B729A0" w14:textId="77777777" w:rsidR="00CE3C0F" w:rsidRPr="00D12EB3" w:rsidRDefault="00CE3C0F" w:rsidP="0007658E">
            <w:pPr>
              <w:spacing w:before="60" w:after="60" w:line="286" w:lineRule="auto"/>
              <w:rPr>
                <w:rFonts w:ascii="Montserrat" w:hAnsi="Montserrat"/>
                <w:b/>
                <w:bCs/>
                <w:color w:val="FFFFFF" w:themeColor="background1"/>
              </w:rPr>
            </w:pPr>
            <w:r>
              <w:rPr>
                <w:rFonts w:ascii="Montserrat" w:hAnsi="Montserrat"/>
                <w:b/>
                <w:bCs/>
                <w:color w:val="FFFFFF" w:themeColor="background1"/>
              </w:rPr>
              <w:t>Project End Date:</w:t>
            </w:r>
          </w:p>
        </w:tc>
        <w:tc>
          <w:tcPr>
            <w:tcW w:w="5216" w:type="dxa"/>
          </w:tcPr>
          <w:p w14:paraId="34C4D164" w14:textId="77777777" w:rsidR="00CE3C0F" w:rsidRPr="00D12EB3" w:rsidRDefault="00CE3C0F" w:rsidP="0007658E">
            <w:pPr>
              <w:spacing w:before="60" w:after="60" w:line="286" w:lineRule="auto"/>
              <w:rPr>
                <w:rFonts w:ascii="Montserrat" w:hAnsi="Montserrat"/>
              </w:rPr>
            </w:pPr>
          </w:p>
        </w:tc>
        <w:tc>
          <w:tcPr>
            <w:tcW w:w="2524" w:type="dxa"/>
            <w:shd w:val="clear" w:color="auto" w:fill="0E759C" w:themeFill="accent4"/>
          </w:tcPr>
          <w:p w14:paraId="7DA1C33D" w14:textId="77777777" w:rsidR="00CE3C0F" w:rsidRPr="00FD095D" w:rsidRDefault="00CE3C0F" w:rsidP="0007658E">
            <w:pPr>
              <w:spacing w:before="60" w:after="60" w:line="286" w:lineRule="auto"/>
              <w:rPr>
                <w:rFonts w:ascii="Montserrat" w:hAnsi="Montserrat"/>
                <w:b/>
                <w:bCs/>
                <w:color w:val="FFFFFF" w:themeColor="background1"/>
              </w:rPr>
            </w:pPr>
            <w:r w:rsidRPr="00FD095D">
              <w:rPr>
                <w:rFonts w:ascii="Montserrat" w:hAnsi="Montserrat"/>
                <w:b/>
                <w:bCs/>
                <w:color w:val="FFFFFF" w:themeColor="background1"/>
              </w:rPr>
              <w:t xml:space="preserve">Date </w:t>
            </w:r>
            <w:r>
              <w:rPr>
                <w:rFonts w:ascii="Montserrat" w:hAnsi="Montserrat"/>
                <w:b/>
                <w:bCs/>
                <w:color w:val="FFFFFF" w:themeColor="background1"/>
              </w:rPr>
              <w:t xml:space="preserve">Last </w:t>
            </w:r>
            <w:r w:rsidRPr="00FD095D">
              <w:rPr>
                <w:rFonts w:ascii="Montserrat" w:hAnsi="Montserrat"/>
                <w:b/>
                <w:bCs/>
                <w:color w:val="FFFFFF" w:themeColor="background1"/>
              </w:rPr>
              <w:t>Updated:</w:t>
            </w:r>
          </w:p>
        </w:tc>
        <w:tc>
          <w:tcPr>
            <w:tcW w:w="5300" w:type="dxa"/>
          </w:tcPr>
          <w:p w14:paraId="41CBFA2A" w14:textId="77777777" w:rsidR="00CE3C0F" w:rsidRPr="00D12EB3" w:rsidRDefault="00CE3C0F" w:rsidP="0007658E">
            <w:pPr>
              <w:spacing w:before="60" w:after="60" w:line="286" w:lineRule="auto"/>
              <w:rPr>
                <w:rFonts w:ascii="Montserrat" w:hAnsi="Montserrat"/>
              </w:rPr>
            </w:pPr>
          </w:p>
        </w:tc>
      </w:tr>
    </w:tbl>
    <w:p w14:paraId="0E8FD384" w14:textId="77777777" w:rsidR="00CE3C0F" w:rsidRPr="00BC02AF" w:rsidRDefault="00CE3C0F" w:rsidP="00CE3C0F">
      <w:pPr>
        <w:pStyle w:val="ListBullet"/>
        <w:numPr>
          <w:ilvl w:val="0"/>
          <w:numId w:val="0"/>
        </w:numPr>
        <w:spacing w:before="120" w:after="120" w:line="286" w:lineRule="auto"/>
        <w:contextualSpacing w:val="0"/>
        <w:jc w:val="both"/>
        <w:rPr>
          <w:rFonts w:ascii="Montserrat" w:hAnsi="Montserrat"/>
          <w:sz w:val="2"/>
          <w:szCs w:val="2"/>
        </w:rPr>
      </w:pPr>
    </w:p>
    <w:tbl>
      <w:tblPr>
        <w:tblStyle w:val="TableGrid"/>
        <w:tblW w:w="15590" w:type="dxa"/>
        <w:jc w:val="center"/>
        <w:tblLook w:val="04A0" w:firstRow="1" w:lastRow="0" w:firstColumn="1" w:lastColumn="0" w:noHBand="0" w:noVBand="1"/>
      </w:tblPr>
      <w:tblGrid>
        <w:gridCol w:w="1838"/>
        <w:gridCol w:w="5954"/>
        <w:gridCol w:w="2551"/>
        <w:gridCol w:w="2126"/>
        <w:gridCol w:w="3121"/>
      </w:tblGrid>
      <w:tr w:rsidR="001411FA" w14:paraId="5700A212" w14:textId="77777777" w:rsidTr="16E656DD">
        <w:trPr>
          <w:tblHeader/>
          <w:jc w:val="center"/>
        </w:trPr>
        <w:tc>
          <w:tcPr>
            <w:tcW w:w="1838" w:type="dxa"/>
            <w:shd w:val="clear" w:color="auto" w:fill="0E759C" w:themeFill="accent4"/>
          </w:tcPr>
          <w:p w14:paraId="3EB23310" w14:textId="450D0309" w:rsidR="00CE3C0F" w:rsidRPr="00F4086D" w:rsidRDefault="0075350F" w:rsidP="0007658E">
            <w:pPr>
              <w:pStyle w:val="ListBullet"/>
              <w:numPr>
                <w:ilvl w:val="0"/>
                <w:numId w:val="0"/>
              </w:numPr>
              <w:spacing w:before="60" w:after="60" w:line="286" w:lineRule="auto"/>
              <w:contextualSpacing w:val="0"/>
              <w:jc w:val="both"/>
              <w:rPr>
                <w:rFonts w:ascii="Montserrat" w:hAnsi="Montserrat"/>
                <w:b/>
                <w:bCs/>
                <w:color w:val="FFFFFF" w:themeColor="background1"/>
              </w:rPr>
            </w:pPr>
            <w:r>
              <w:rPr>
                <w:rFonts w:ascii="Montserrat" w:hAnsi="Montserrat"/>
                <w:b/>
                <w:bCs/>
                <w:color w:val="FFFFFF" w:themeColor="background1"/>
              </w:rPr>
              <w:t>Level</w:t>
            </w:r>
          </w:p>
        </w:tc>
        <w:tc>
          <w:tcPr>
            <w:tcW w:w="5954" w:type="dxa"/>
            <w:shd w:val="clear" w:color="auto" w:fill="0E759C" w:themeFill="accent4"/>
          </w:tcPr>
          <w:p w14:paraId="555DCAEC" w14:textId="2C4EC9BA" w:rsidR="00CE3C0F" w:rsidRPr="00F4086D" w:rsidRDefault="00CE3C0F" w:rsidP="0007658E">
            <w:pPr>
              <w:pStyle w:val="ListBullet"/>
              <w:numPr>
                <w:ilvl w:val="0"/>
                <w:numId w:val="0"/>
              </w:numPr>
              <w:spacing w:after="60" w:line="286" w:lineRule="auto"/>
              <w:contextualSpacing w:val="0"/>
              <w:jc w:val="center"/>
              <w:rPr>
                <w:rFonts w:ascii="Montserrat" w:hAnsi="Montserrat"/>
                <w:b/>
                <w:bCs/>
                <w:color w:val="FFFFFF" w:themeColor="background1"/>
              </w:rPr>
            </w:pPr>
            <w:r>
              <w:rPr>
                <w:rFonts w:ascii="Montserrat" w:hAnsi="Montserrat"/>
                <w:b/>
                <w:bCs/>
                <w:color w:val="FFFFFF" w:themeColor="background1"/>
              </w:rPr>
              <w:t>Description</w:t>
            </w:r>
            <w:r w:rsidR="0075350F">
              <w:rPr>
                <w:rFonts w:ascii="Montserrat" w:hAnsi="Montserrat"/>
                <w:b/>
                <w:bCs/>
                <w:color w:val="FFFFFF" w:themeColor="background1"/>
              </w:rPr>
              <w:t xml:space="preserve"> of Activity</w:t>
            </w:r>
          </w:p>
        </w:tc>
        <w:tc>
          <w:tcPr>
            <w:tcW w:w="2551" w:type="dxa"/>
            <w:shd w:val="clear" w:color="auto" w:fill="0E759C" w:themeFill="accent4"/>
          </w:tcPr>
          <w:p w14:paraId="0A3E9EF9" w14:textId="77777777" w:rsidR="00CE3C0F" w:rsidRPr="00F4086D" w:rsidRDefault="00CE3C0F" w:rsidP="0007658E">
            <w:pPr>
              <w:pStyle w:val="ListBullet"/>
              <w:numPr>
                <w:ilvl w:val="0"/>
                <w:numId w:val="0"/>
              </w:numPr>
              <w:spacing w:after="60" w:line="286" w:lineRule="auto"/>
              <w:contextualSpacing w:val="0"/>
              <w:jc w:val="center"/>
              <w:rPr>
                <w:rFonts w:ascii="Montserrat" w:hAnsi="Montserrat"/>
                <w:b/>
                <w:bCs/>
                <w:color w:val="FFFFFF" w:themeColor="background1"/>
              </w:rPr>
            </w:pPr>
            <w:r>
              <w:rPr>
                <w:rFonts w:ascii="Montserrat" w:hAnsi="Montserrat"/>
                <w:b/>
                <w:bCs/>
                <w:color w:val="FFFFFF" w:themeColor="background1"/>
              </w:rPr>
              <w:t>Responsibility</w:t>
            </w:r>
          </w:p>
        </w:tc>
        <w:tc>
          <w:tcPr>
            <w:tcW w:w="2126" w:type="dxa"/>
            <w:shd w:val="clear" w:color="auto" w:fill="0E759C" w:themeFill="accent4"/>
          </w:tcPr>
          <w:p w14:paraId="1F6564C4" w14:textId="77777777" w:rsidR="00CE3C0F" w:rsidRPr="00F4086D" w:rsidRDefault="00CE3C0F" w:rsidP="0007658E">
            <w:pPr>
              <w:pStyle w:val="ListBullet"/>
              <w:numPr>
                <w:ilvl w:val="0"/>
                <w:numId w:val="0"/>
              </w:numPr>
              <w:spacing w:after="60" w:line="286" w:lineRule="auto"/>
              <w:contextualSpacing w:val="0"/>
              <w:jc w:val="center"/>
              <w:rPr>
                <w:rFonts w:ascii="Montserrat" w:hAnsi="Montserrat"/>
                <w:b/>
                <w:bCs/>
                <w:color w:val="FFFFFF" w:themeColor="background1"/>
              </w:rPr>
            </w:pPr>
            <w:r>
              <w:rPr>
                <w:rFonts w:ascii="Montserrat" w:hAnsi="Montserrat"/>
                <w:b/>
                <w:bCs/>
                <w:color w:val="FFFFFF" w:themeColor="background1"/>
              </w:rPr>
              <w:t>Timing</w:t>
            </w:r>
          </w:p>
        </w:tc>
        <w:tc>
          <w:tcPr>
            <w:tcW w:w="3121" w:type="dxa"/>
            <w:shd w:val="clear" w:color="auto" w:fill="0E759C" w:themeFill="accent4"/>
          </w:tcPr>
          <w:p w14:paraId="0FD7706C" w14:textId="77777777" w:rsidR="00CE3C0F" w:rsidRPr="00F4086D" w:rsidRDefault="00CE3C0F" w:rsidP="0007658E">
            <w:pPr>
              <w:pStyle w:val="ListBullet"/>
              <w:numPr>
                <w:ilvl w:val="0"/>
                <w:numId w:val="0"/>
              </w:numPr>
              <w:spacing w:after="60" w:line="286" w:lineRule="auto"/>
              <w:contextualSpacing w:val="0"/>
              <w:jc w:val="center"/>
              <w:rPr>
                <w:rFonts w:ascii="Montserrat" w:hAnsi="Montserrat"/>
                <w:b/>
                <w:bCs/>
                <w:color w:val="FFFFFF" w:themeColor="background1"/>
              </w:rPr>
            </w:pPr>
            <w:r>
              <w:rPr>
                <w:rFonts w:ascii="Montserrat" w:hAnsi="Montserrat"/>
                <w:b/>
                <w:bCs/>
                <w:color w:val="FFFFFF" w:themeColor="background1"/>
              </w:rPr>
              <w:t>Targets / Milestones</w:t>
            </w:r>
          </w:p>
        </w:tc>
      </w:tr>
      <w:tr w:rsidR="00CE3C0F" w14:paraId="63C4E75B" w14:textId="77777777" w:rsidTr="16E656DD">
        <w:trPr>
          <w:jc w:val="center"/>
        </w:trPr>
        <w:tc>
          <w:tcPr>
            <w:tcW w:w="15590" w:type="dxa"/>
            <w:gridSpan w:val="5"/>
            <w:shd w:val="clear" w:color="auto" w:fill="B7D6E1" w:themeFill="accent1"/>
          </w:tcPr>
          <w:p w14:paraId="4F6C229F" w14:textId="3C934941" w:rsidR="00AB5C8B" w:rsidRPr="00AB5C8B" w:rsidRDefault="00AB5C8B" w:rsidP="00AB5C8B">
            <w:pPr>
              <w:pStyle w:val="ListBullet"/>
              <w:numPr>
                <w:ilvl w:val="0"/>
                <w:numId w:val="0"/>
              </w:numPr>
              <w:spacing w:before="120" w:after="120" w:line="286" w:lineRule="auto"/>
              <w:ind w:left="360" w:hanging="360"/>
              <w:rPr>
                <w:rFonts w:ascii="Montserrat" w:hAnsi="Montserrat"/>
                <w:b/>
                <w:bCs/>
                <w:szCs w:val="22"/>
              </w:rPr>
            </w:pPr>
            <w:r w:rsidRPr="00AB5C8B">
              <w:rPr>
                <w:rFonts w:ascii="Montserrat" w:hAnsi="Montserrat"/>
                <w:b/>
                <w:bCs/>
                <w:szCs w:val="22"/>
              </w:rPr>
              <w:t xml:space="preserve">POLICIES: Set, communicate, uphold and implement clear </w:t>
            </w:r>
            <w:r w:rsidR="0094759E" w:rsidRPr="0094759E">
              <w:rPr>
                <w:rFonts w:ascii="Montserrat" w:hAnsi="Montserrat"/>
                <w:b/>
                <w:bCs/>
                <w:szCs w:val="22"/>
              </w:rPr>
              <w:t>Protection from Sexual Exploitation, Sexual Abuse and Sexual Harassment (PSEAH)</w:t>
            </w:r>
            <w:r w:rsidRPr="00AB5C8B">
              <w:rPr>
                <w:rFonts w:ascii="Montserrat" w:hAnsi="Montserrat"/>
                <w:b/>
                <w:bCs/>
                <w:szCs w:val="22"/>
              </w:rPr>
              <w:t xml:space="preserve"> policies.</w:t>
            </w:r>
          </w:p>
          <w:p w14:paraId="02790150" w14:textId="5008A4BD" w:rsidR="00AB5C8B" w:rsidRPr="00AB5C8B" w:rsidRDefault="00AB5C8B" w:rsidP="00AB5C8B">
            <w:pPr>
              <w:pStyle w:val="ListBullet"/>
              <w:numPr>
                <w:ilvl w:val="1"/>
                <w:numId w:val="38"/>
              </w:numPr>
              <w:spacing w:before="120" w:after="120" w:line="286" w:lineRule="auto"/>
              <w:rPr>
                <w:rFonts w:ascii="Montserrat" w:hAnsi="Montserrat"/>
                <w:sz w:val="18"/>
                <w:szCs w:val="18"/>
              </w:rPr>
            </w:pPr>
            <w:r w:rsidRPr="00AB5C8B">
              <w:rPr>
                <w:rFonts w:ascii="Montserrat" w:hAnsi="Montserrat"/>
                <w:b/>
                <w:bCs/>
                <w:szCs w:val="22"/>
              </w:rPr>
              <w:t>Set, resource, implement and adhere to a PSEAH policy/strategy aligned to these common principles, minimum actions and the standards that underpin them. </w:t>
            </w:r>
            <w:r w:rsidRPr="00AB5C8B">
              <w:rPr>
                <w:rFonts w:ascii="Montserrat" w:hAnsi="Montserrat"/>
                <w:sz w:val="18"/>
                <w:szCs w:val="18"/>
              </w:rPr>
              <w:t xml:space="preserve">Some organisations may have an overarching PSEAH strategy, while others may prefer separate policies for </w:t>
            </w:r>
            <w:r w:rsidR="0094759E">
              <w:rPr>
                <w:rFonts w:ascii="Montserrat" w:hAnsi="Montserrat"/>
                <w:sz w:val="18"/>
                <w:szCs w:val="18"/>
              </w:rPr>
              <w:t xml:space="preserve">Sexual </w:t>
            </w:r>
            <w:r w:rsidR="00A00E67">
              <w:rPr>
                <w:rFonts w:ascii="Montserrat" w:hAnsi="Montserrat"/>
                <w:sz w:val="18"/>
                <w:szCs w:val="18"/>
              </w:rPr>
              <w:t>Exploitation</w:t>
            </w:r>
            <w:r w:rsidR="00E3560C">
              <w:rPr>
                <w:rFonts w:ascii="Montserrat" w:hAnsi="Montserrat"/>
                <w:sz w:val="18"/>
                <w:szCs w:val="18"/>
              </w:rPr>
              <w:t xml:space="preserve">, </w:t>
            </w:r>
            <w:r w:rsidR="00A00E67">
              <w:rPr>
                <w:rFonts w:ascii="Montserrat" w:hAnsi="Montserrat"/>
                <w:sz w:val="18"/>
                <w:szCs w:val="18"/>
              </w:rPr>
              <w:t>Abuse (</w:t>
            </w:r>
            <w:r w:rsidRPr="00AB5C8B">
              <w:rPr>
                <w:rFonts w:ascii="Montserrat" w:hAnsi="Montserrat"/>
                <w:sz w:val="18"/>
                <w:szCs w:val="18"/>
              </w:rPr>
              <w:t>SEA</w:t>
            </w:r>
            <w:r w:rsidR="001413B2">
              <w:rPr>
                <w:rFonts w:ascii="Montserrat" w:hAnsi="Montserrat"/>
                <w:sz w:val="18"/>
                <w:szCs w:val="18"/>
              </w:rPr>
              <w:t xml:space="preserve">) </w:t>
            </w:r>
            <w:r w:rsidRPr="00AB5C8B">
              <w:rPr>
                <w:rFonts w:ascii="Montserrat" w:hAnsi="Montserrat"/>
                <w:sz w:val="18"/>
                <w:szCs w:val="18"/>
              </w:rPr>
              <w:t xml:space="preserve">to guide external operations and project/programmes and </w:t>
            </w:r>
            <w:r w:rsidR="001413B2">
              <w:rPr>
                <w:rFonts w:ascii="Montserrat" w:hAnsi="Montserrat"/>
                <w:sz w:val="18"/>
                <w:szCs w:val="18"/>
              </w:rPr>
              <w:t>Sexual Harassment (</w:t>
            </w:r>
            <w:r w:rsidRPr="00AB5C8B">
              <w:rPr>
                <w:rFonts w:ascii="Montserrat" w:hAnsi="Montserrat"/>
                <w:sz w:val="18"/>
                <w:szCs w:val="18"/>
              </w:rPr>
              <w:t>SH</w:t>
            </w:r>
            <w:r w:rsidR="001413B2">
              <w:rPr>
                <w:rFonts w:ascii="Montserrat" w:hAnsi="Montserrat"/>
                <w:sz w:val="18"/>
                <w:szCs w:val="18"/>
              </w:rPr>
              <w:t>)</w:t>
            </w:r>
            <w:r w:rsidRPr="00AB5C8B">
              <w:rPr>
                <w:rFonts w:ascii="Montserrat" w:hAnsi="Montserrat"/>
                <w:sz w:val="18"/>
                <w:szCs w:val="18"/>
              </w:rPr>
              <w:t xml:space="preserve"> to guide internal staff conduct.</w:t>
            </w:r>
          </w:p>
          <w:p w14:paraId="7733FB7A" w14:textId="77777777" w:rsidR="00AB5C8B" w:rsidRPr="00AB5C8B" w:rsidRDefault="00AB5C8B" w:rsidP="00AB5C8B">
            <w:pPr>
              <w:pStyle w:val="ListBullet"/>
              <w:numPr>
                <w:ilvl w:val="1"/>
                <w:numId w:val="38"/>
              </w:numPr>
              <w:spacing w:before="120" w:after="120" w:line="286" w:lineRule="auto"/>
              <w:rPr>
                <w:rFonts w:ascii="Montserrat" w:hAnsi="Montserrat"/>
                <w:sz w:val="18"/>
                <w:szCs w:val="18"/>
              </w:rPr>
            </w:pPr>
            <w:r w:rsidRPr="00AB5C8B">
              <w:rPr>
                <w:rFonts w:ascii="Montserrat" w:hAnsi="Montserrat"/>
                <w:b/>
                <w:bCs/>
                <w:szCs w:val="22"/>
              </w:rPr>
              <w:t>Ensure PSEAH principles and standards of behaviour are embedded in codes of conduct with clear prohibition of SEAH. </w:t>
            </w:r>
            <w:r w:rsidRPr="00AB5C8B">
              <w:rPr>
                <w:rFonts w:ascii="Montserrat" w:hAnsi="Montserrat"/>
                <w:sz w:val="18"/>
                <w:szCs w:val="18"/>
              </w:rPr>
              <w:t>Create or update a code of conduct to align with such action if required.</w:t>
            </w:r>
          </w:p>
          <w:p w14:paraId="4E566747" w14:textId="77A1B8B3" w:rsidR="00CE3C0F" w:rsidRPr="0089237B" w:rsidRDefault="00AB5C8B" w:rsidP="003A4798">
            <w:pPr>
              <w:pStyle w:val="ListBullet"/>
              <w:numPr>
                <w:ilvl w:val="1"/>
                <w:numId w:val="38"/>
              </w:numPr>
              <w:spacing w:before="120" w:after="120" w:line="286" w:lineRule="auto"/>
              <w:rPr>
                <w:rFonts w:ascii="Montserrat" w:hAnsi="Montserrat"/>
                <w:b/>
                <w:bCs/>
                <w:szCs w:val="22"/>
              </w:rPr>
            </w:pPr>
            <w:r w:rsidRPr="00AB5C8B">
              <w:rPr>
                <w:rFonts w:ascii="Montserrat" w:hAnsi="Montserrat"/>
                <w:b/>
                <w:bCs/>
                <w:szCs w:val="22"/>
              </w:rPr>
              <w:t>Ensure all personnel, volunteers and delivery partners are made aware of, sign up to and strive to comply with PSEAH policies and codes of conduct. </w:t>
            </w:r>
            <w:r w:rsidRPr="00AB5C8B">
              <w:rPr>
                <w:rFonts w:ascii="Montserrat" w:hAnsi="Montserrat"/>
                <w:sz w:val="18"/>
                <w:szCs w:val="18"/>
              </w:rPr>
              <w:t>Ways to do this include mandatory induction and regular refresher training; adding text to contracts, job descriptions and cooperative agreements; assessing partner capacity to meet expectations on PSEAH; and discussion of compliance in performance reviews and evaluations.</w:t>
            </w:r>
          </w:p>
        </w:tc>
      </w:tr>
      <w:tr w:rsidR="00CE3C0F" w14:paraId="1D21077C" w14:textId="77777777" w:rsidTr="16E656DD">
        <w:trPr>
          <w:jc w:val="center"/>
        </w:trPr>
        <w:tc>
          <w:tcPr>
            <w:tcW w:w="1838" w:type="dxa"/>
          </w:tcPr>
          <w:p w14:paraId="13EC82BA" w14:textId="1ADEAE5E" w:rsidR="00CE3C0F" w:rsidRPr="0089237B" w:rsidRDefault="003A6640" w:rsidP="0007658E">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Organisation</w:t>
            </w:r>
          </w:p>
        </w:tc>
        <w:tc>
          <w:tcPr>
            <w:tcW w:w="5954" w:type="dxa"/>
          </w:tcPr>
          <w:p w14:paraId="735FC5ED" w14:textId="0D6766DD" w:rsidR="00CE3C0F" w:rsidRPr="0089237B" w:rsidRDefault="00AE5073" w:rsidP="0007658E">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Lead organisation to review its Safeguarding policy on an annual basis and make updates where needed.</w:t>
            </w:r>
          </w:p>
        </w:tc>
        <w:tc>
          <w:tcPr>
            <w:tcW w:w="2551" w:type="dxa"/>
          </w:tcPr>
          <w:p w14:paraId="3C390351" w14:textId="7A1E3C8B" w:rsidR="00CE3C0F" w:rsidRPr="0089237B" w:rsidRDefault="00781F07" w:rsidP="0007658E">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HR Dept</w:t>
            </w:r>
          </w:p>
        </w:tc>
        <w:tc>
          <w:tcPr>
            <w:tcW w:w="2126" w:type="dxa"/>
          </w:tcPr>
          <w:p w14:paraId="72411BC1" w14:textId="6801866E" w:rsidR="00CE3C0F" w:rsidRPr="0089237B" w:rsidRDefault="00AE5073" w:rsidP="0007658E">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January each year.</w:t>
            </w:r>
          </w:p>
        </w:tc>
        <w:tc>
          <w:tcPr>
            <w:tcW w:w="3121" w:type="dxa"/>
          </w:tcPr>
          <w:p w14:paraId="46D2B971" w14:textId="2F2EF116" w:rsidR="00CE3C0F" w:rsidRPr="0089237B" w:rsidRDefault="00AE5073" w:rsidP="4951BB1D">
            <w:pPr>
              <w:pStyle w:val="ListBullet"/>
              <w:numPr>
                <w:ilvl w:val="0"/>
                <w:numId w:val="0"/>
              </w:numPr>
              <w:spacing w:before="120" w:after="120" w:line="286" w:lineRule="auto"/>
              <w:contextualSpacing w:val="0"/>
              <w:rPr>
                <w:rFonts w:ascii="Montserrat" w:hAnsi="Montserrat"/>
                <w:i/>
                <w:iCs/>
                <w:color w:val="FF0000"/>
                <w:sz w:val="18"/>
                <w:szCs w:val="18"/>
              </w:rPr>
            </w:pPr>
            <w:r w:rsidRPr="4951BB1D">
              <w:rPr>
                <w:rFonts w:ascii="Montserrat" w:hAnsi="Montserrat"/>
                <w:i/>
                <w:iCs/>
                <w:color w:val="FF0000"/>
                <w:sz w:val="18"/>
                <w:szCs w:val="18"/>
              </w:rPr>
              <w:t>Policy reviewed and updated in January each year</w:t>
            </w:r>
            <w:r w:rsidR="129A01EB" w:rsidRPr="4951BB1D">
              <w:rPr>
                <w:rFonts w:ascii="Montserrat" w:hAnsi="Montserrat"/>
                <w:i/>
                <w:iCs/>
                <w:color w:val="FF0000"/>
                <w:sz w:val="18"/>
                <w:szCs w:val="18"/>
              </w:rPr>
              <w:t xml:space="preserve">, any updated policy shared with Annual </w:t>
            </w:r>
            <w:r w:rsidR="7671A978" w:rsidRPr="4951BB1D">
              <w:rPr>
                <w:rFonts w:ascii="Montserrat" w:hAnsi="Montserrat"/>
                <w:i/>
                <w:iCs/>
                <w:color w:val="FF0000"/>
                <w:sz w:val="18"/>
                <w:szCs w:val="18"/>
              </w:rPr>
              <w:t>R</w:t>
            </w:r>
            <w:r w:rsidR="129A01EB" w:rsidRPr="4951BB1D">
              <w:rPr>
                <w:rFonts w:ascii="Montserrat" w:hAnsi="Montserrat"/>
                <w:i/>
                <w:iCs/>
                <w:color w:val="FF0000"/>
                <w:sz w:val="18"/>
                <w:szCs w:val="18"/>
              </w:rPr>
              <w:t>eport</w:t>
            </w:r>
          </w:p>
        </w:tc>
      </w:tr>
      <w:tr w:rsidR="00CE3C0F" w14:paraId="74292747" w14:textId="77777777" w:rsidTr="16E656DD">
        <w:trPr>
          <w:jc w:val="center"/>
        </w:trPr>
        <w:tc>
          <w:tcPr>
            <w:tcW w:w="1838" w:type="dxa"/>
          </w:tcPr>
          <w:p w14:paraId="1728D4F3" w14:textId="76C07015" w:rsidR="00CE3C0F" w:rsidRPr="0089237B" w:rsidRDefault="003A6640" w:rsidP="0007658E">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 xml:space="preserve">Project </w:t>
            </w:r>
          </w:p>
        </w:tc>
        <w:tc>
          <w:tcPr>
            <w:tcW w:w="5954" w:type="dxa"/>
          </w:tcPr>
          <w:p w14:paraId="147E2AE6" w14:textId="3BE81AC2" w:rsidR="00CE3C0F" w:rsidRPr="0089237B" w:rsidRDefault="002D7139" w:rsidP="0007658E">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 xml:space="preserve">Annual safeguarding </w:t>
            </w:r>
            <w:r w:rsidR="00261CBE">
              <w:rPr>
                <w:rFonts w:ascii="Montserrat" w:hAnsi="Montserrat"/>
                <w:i/>
                <w:iCs/>
                <w:color w:val="FF0000"/>
                <w:sz w:val="18"/>
                <w:szCs w:val="18"/>
              </w:rPr>
              <w:t xml:space="preserve">refresher </w:t>
            </w:r>
            <w:r>
              <w:rPr>
                <w:rFonts w:ascii="Montserrat" w:hAnsi="Montserrat"/>
                <w:i/>
                <w:iCs/>
                <w:color w:val="FF0000"/>
                <w:sz w:val="18"/>
                <w:szCs w:val="18"/>
              </w:rPr>
              <w:t>training held for all project staff</w:t>
            </w:r>
            <w:r w:rsidR="00261CBE">
              <w:rPr>
                <w:rFonts w:ascii="Montserrat" w:hAnsi="Montserrat"/>
                <w:i/>
                <w:iCs/>
                <w:color w:val="FF0000"/>
                <w:sz w:val="18"/>
                <w:szCs w:val="18"/>
              </w:rPr>
              <w:t>.</w:t>
            </w:r>
          </w:p>
        </w:tc>
        <w:tc>
          <w:tcPr>
            <w:tcW w:w="2551" w:type="dxa"/>
          </w:tcPr>
          <w:p w14:paraId="47406B02" w14:textId="237961AF" w:rsidR="00CE3C0F" w:rsidRPr="0089237B" w:rsidRDefault="00781F07" w:rsidP="0007658E">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Project Leader</w:t>
            </w:r>
          </w:p>
        </w:tc>
        <w:tc>
          <w:tcPr>
            <w:tcW w:w="2126" w:type="dxa"/>
          </w:tcPr>
          <w:p w14:paraId="0D560113" w14:textId="0A82A94F" w:rsidR="00CE3C0F" w:rsidRPr="0089237B" w:rsidRDefault="002D7139" w:rsidP="0007658E">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Annually in January</w:t>
            </w:r>
          </w:p>
        </w:tc>
        <w:tc>
          <w:tcPr>
            <w:tcW w:w="3121" w:type="dxa"/>
          </w:tcPr>
          <w:p w14:paraId="3773E51C" w14:textId="1314D0FA" w:rsidR="00CE3C0F" w:rsidRPr="0089237B" w:rsidRDefault="787CAD16" w:rsidP="64BFB284">
            <w:pPr>
              <w:pStyle w:val="ListBullet"/>
              <w:numPr>
                <w:ilvl w:val="0"/>
                <w:numId w:val="0"/>
              </w:numPr>
              <w:spacing w:before="120" w:after="120" w:line="286" w:lineRule="auto"/>
              <w:contextualSpacing w:val="0"/>
              <w:rPr>
                <w:rFonts w:ascii="Montserrat" w:hAnsi="Montserrat"/>
                <w:i/>
                <w:iCs/>
                <w:color w:val="FF0000"/>
                <w:sz w:val="18"/>
                <w:szCs w:val="18"/>
              </w:rPr>
            </w:pPr>
            <w:r w:rsidRPr="64BFB284">
              <w:rPr>
                <w:rFonts w:ascii="Montserrat" w:hAnsi="Montserrat"/>
                <w:i/>
                <w:iCs/>
                <w:color w:val="FF0000"/>
                <w:sz w:val="18"/>
                <w:szCs w:val="18"/>
              </w:rPr>
              <w:t>100%</w:t>
            </w:r>
            <w:r w:rsidR="002D7139" w:rsidRPr="64BFB284">
              <w:rPr>
                <w:rFonts w:ascii="Montserrat" w:hAnsi="Montserrat"/>
                <w:i/>
                <w:iCs/>
                <w:color w:val="FF0000"/>
                <w:sz w:val="18"/>
                <w:szCs w:val="18"/>
              </w:rPr>
              <w:t xml:space="preserve"> project staff attend training each </w:t>
            </w:r>
            <w:r w:rsidR="204764B3" w:rsidRPr="64BFB284">
              <w:rPr>
                <w:rFonts w:ascii="Montserrat" w:hAnsi="Montserrat"/>
                <w:i/>
                <w:iCs/>
                <w:color w:val="FF0000"/>
                <w:sz w:val="18"/>
                <w:szCs w:val="18"/>
              </w:rPr>
              <w:t xml:space="preserve">year, </w:t>
            </w:r>
            <w:r w:rsidR="36D6888A" w:rsidRPr="64BFB284">
              <w:rPr>
                <w:rFonts w:ascii="Montserrat" w:hAnsi="Montserrat"/>
                <w:i/>
                <w:iCs/>
                <w:color w:val="FF0000"/>
                <w:sz w:val="18"/>
                <w:szCs w:val="18"/>
              </w:rPr>
              <w:t>updated staff training statistics with Annual Report</w:t>
            </w:r>
          </w:p>
        </w:tc>
      </w:tr>
      <w:tr w:rsidR="00E64541" w14:paraId="415FC4BD" w14:textId="77777777" w:rsidTr="16E656DD">
        <w:trPr>
          <w:jc w:val="center"/>
        </w:trPr>
        <w:tc>
          <w:tcPr>
            <w:tcW w:w="1838" w:type="dxa"/>
          </w:tcPr>
          <w:p w14:paraId="2BDF00B1" w14:textId="77777777" w:rsidR="00E64541" w:rsidRPr="0089237B" w:rsidRDefault="00E64541" w:rsidP="0007658E">
            <w:pPr>
              <w:pStyle w:val="ListBullet"/>
              <w:numPr>
                <w:ilvl w:val="0"/>
                <w:numId w:val="0"/>
              </w:numPr>
              <w:spacing w:before="120" w:after="120" w:line="286" w:lineRule="auto"/>
              <w:contextualSpacing w:val="0"/>
              <w:rPr>
                <w:rFonts w:ascii="Montserrat" w:hAnsi="Montserrat"/>
                <w:i/>
                <w:iCs/>
                <w:color w:val="FF0000"/>
                <w:sz w:val="18"/>
                <w:szCs w:val="18"/>
              </w:rPr>
            </w:pPr>
          </w:p>
        </w:tc>
        <w:tc>
          <w:tcPr>
            <w:tcW w:w="5954" w:type="dxa"/>
          </w:tcPr>
          <w:p w14:paraId="252A46E4" w14:textId="77777777" w:rsidR="00E64541" w:rsidRPr="0089237B" w:rsidRDefault="00E64541" w:rsidP="0007658E">
            <w:pPr>
              <w:pStyle w:val="ListBullet"/>
              <w:numPr>
                <w:ilvl w:val="0"/>
                <w:numId w:val="0"/>
              </w:numPr>
              <w:spacing w:before="120" w:after="120" w:line="286" w:lineRule="auto"/>
              <w:contextualSpacing w:val="0"/>
              <w:rPr>
                <w:rFonts w:ascii="Montserrat" w:hAnsi="Montserrat"/>
                <w:i/>
                <w:iCs/>
                <w:color w:val="FF0000"/>
                <w:sz w:val="18"/>
                <w:szCs w:val="18"/>
              </w:rPr>
            </w:pPr>
          </w:p>
        </w:tc>
        <w:tc>
          <w:tcPr>
            <w:tcW w:w="2551" w:type="dxa"/>
          </w:tcPr>
          <w:p w14:paraId="61EE6255" w14:textId="77777777" w:rsidR="00E64541" w:rsidRPr="0089237B" w:rsidRDefault="00E64541" w:rsidP="0007658E">
            <w:pPr>
              <w:pStyle w:val="ListBullet"/>
              <w:numPr>
                <w:ilvl w:val="0"/>
                <w:numId w:val="0"/>
              </w:numPr>
              <w:spacing w:before="120" w:after="120" w:line="286" w:lineRule="auto"/>
              <w:contextualSpacing w:val="0"/>
              <w:rPr>
                <w:rFonts w:ascii="Montserrat" w:hAnsi="Montserrat"/>
                <w:i/>
                <w:iCs/>
                <w:color w:val="FF0000"/>
                <w:sz w:val="18"/>
                <w:szCs w:val="18"/>
              </w:rPr>
            </w:pPr>
          </w:p>
        </w:tc>
        <w:tc>
          <w:tcPr>
            <w:tcW w:w="2126" w:type="dxa"/>
          </w:tcPr>
          <w:p w14:paraId="113F37FD" w14:textId="77777777" w:rsidR="00E64541" w:rsidRPr="0089237B" w:rsidRDefault="00E64541" w:rsidP="0007658E">
            <w:pPr>
              <w:pStyle w:val="ListBullet"/>
              <w:numPr>
                <w:ilvl w:val="0"/>
                <w:numId w:val="0"/>
              </w:numPr>
              <w:spacing w:before="120" w:after="120" w:line="286" w:lineRule="auto"/>
              <w:contextualSpacing w:val="0"/>
              <w:rPr>
                <w:rFonts w:ascii="Montserrat" w:hAnsi="Montserrat"/>
                <w:i/>
                <w:iCs/>
                <w:color w:val="FF0000"/>
                <w:sz w:val="18"/>
                <w:szCs w:val="18"/>
              </w:rPr>
            </w:pPr>
          </w:p>
        </w:tc>
        <w:tc>
          <w:tcPr>
            <w:tcW w:w="3121" w:type="dxa"/>
          </w:tcPr>
          <w:p w14:paraId="4153A7F9" w14:textId="77777777" w:rsidR="00E64541" w:rsidRPr="0089237B" w:rsidRDefault="00E64541" w:rsidP="0007658E">
            <w:pPr>
              <w:pStyle w:val="ListBullet"/>
              <w:numPr>
                <w:ilvl w:val="0"/>
                <w:numId w:val="0"/>
              </w:numPr>
              <w:spacing w:before="120" w:after="120" w:line="286" w:lineRule="auto"/>
              <w:contextualSpacing w:val="0"/>
              <w:rPr>
                <w:rFonts w:ascii="Montserrat" w:hAnsi="Montserrat"/>
                <w:i/>
                <w:iCs/>
                <w:color w:val="FF0000"/>
                <w:sz w:val="18"/>
                <w:szCs w:val="18"/>
              </w:rPr>
            </w:pPr>
          </w:p>
        </w:tc>
      </w:tr>
      <w:tr w:rsidR="009D3DA0" w14:paraId="27847BD0" w14:textId="77777777" w:rsidTr="16E656DD">
        <w:trPr>
          <w:jc w:val="center"/>
        </w:trPr>
        <w:tc>
          <w:tcPr>
            <w:tcW w:w="1838" w:type="dxa"/>
          </w:tcPr>
          <w:p w14:paraId="7C8B6AF4" w14:textId="77777777" w:rsidR="009D3DA0" w:rsidRPr="0089237B" w:rsidRDefault="009D3DA0" w:rsidP="0007658E">
            <w:pPr>
              <w:pStyle w:val="ListBullet"/>
              <w:numPr>
                <w:ilvl w:val="0"/>
                <w:numId w:val="0"/>
              </w:numPr>
              <w:spacing w:before="120" w:after="120" w:line="286" w:lineRule="auto"/>
              <w:contextualSpacing w:val="0"/>
              <w:rPr>
                <w:rFonts w:ascii="Montserrat" w:hAnsi="Montserrat"/>
                <w:i/>
                <w:iCs/>
                <w:color w:val="FF0000"/>
                <w:sz w:val="18"/>
                <w:szCs w:val="18"/>
              </w:rPr>
            </w:pPr>
          </w:p>
        </w:tc>
        <w:tc>
          <w:tcPr>
            <w:tcW w:w="5954" w:type="dxa"/>
          </w:tcPr>
          <w:p w14:paraId="0B93183E" w14:textId="77777777" w:rsidR="009D3DA0" w:rsidRPr="0089237B" w:rsidRDefault="009D3DA0" w:rsidP="0007658E">
            <w:pPr>
              <w:pStyle w:val="ListBullet"/>
              <w:numPr>
                <w:ilvl w:val="0"/>
                <w:numId w:val="0"/>
              </w:numPr>
              <w:spacing w:before="120" w:after="120" w:line="286" w:lineRule="auto"/>
              <w:contextualSpacing w:val="0"/>
              <w:rPr>
                <w:rFonts w:ascii="Montserrat" w:hAnsi="Montserrat"/>
                <w:i/>
                <w:iCs/>
                <w:color w:val="FF0000"/>
                <w:sz w:val="18"/>
                <w:szCs w:val="18"/>
              </w:rPr>
            </w:pPr>
          </w:p>
        </w:tc>
        <w:tc>
          <w:tcPr>
            <w:tcW w:w="2551" w:type="dxa"/>
          </w:tcPr>
          <w:p w14:paraId="2515B0E8" w14:textId="77777777" w:rsidR="009D3DA0" w:rsidRPr="0089237B" w:rsidRDefault="009D3DA0" w:rsidP="0007658E">
            <w:pPr>
              <w:pStyle w:val="ListBullet"/>
              <w:numPr>
                <w:ilvl w:val="0"/>
                <w:numId w:val="0"/>
              </w:numPr>
              <w:spacing w:before="120" w:after="120" w:line="286" w:lineRule="auto"/>
              <w:contextualSpacing w:val="0"/>
              <w:rPr>
                <w:rFonts w:ascii="Montserrat" w:hAnsi="Montserrat"/>
                <w:i/>
                <w:iCs/>
                <w:color w:val="FF0000"/>
                <w:sz w:val="18"/>
                <w:szCs w:val="18"/>
              </w:rPr>
            </w:pPr>
          </w:p>
        </w:tc>
        <w:tc>
          <w:tcPr>
            <w:tcW w:w="2126" w:type="dxa"/>
          </w:tcPr>
          <w:p w14:paraId="4C307877" w14:textId="77777777" w:rsidR="009D3DA0" w:rsidRPr="0089237B" w:rsidRDefault="009D3DA0" w:rsidP="0007658E">
            <w:pPr>
              <w:pStyle w:val="ListBullet"/>
              <w:numPr>
                <w:ilvl w:val="0"/>
                <w:numId w:val="0"/>
              </w:numPr>
              <w:spacing w:before="120" w:after="120" w:line="286" w:lineRule="auto"/>
              <w:contextualSpacing w:val="0"/>
              <w:rPr>
                <w:rFonts w:ascii="Montserrat" w:hAnsi="Montserrat"/>
                <w:i/>
                <w:iCs/>
                <w:color w:val="FF0000"/>
                <w:sz w:val="18"/>
                <w:szCs w:val="18"/>
              </w:rPr>
            </w:pPr>
          </w:p>
        </w:tc>
        <w:tc>
          <w:tcPr>
            <w:tcW w:w="3121" w:type="dxa"/>
          </w:tcPr>
          <w:p w14:paraId="7A8A524E" w14:textId="77777777" w:rsidR="009D3DA0" w:rsidRPr="0089237B" w:rsidRDefault="009D3DA0" w:rsidP="0007658E">
            <w:pPr>
              <w:pStyle w:val="ListBullet"/>
              <w:numPr>
                <w:ilvl w:val="0"/>
                <w:numId w:val="0"/>
              </w:numPr>
              <w:spacing w:before="120" w:after="120" w:line="286" w:lineRule="auto"/>
              <w:contextualSpacing w:val="0"/>
              <w:rPr>
                <w:rFonts w:ascii="Montserrat" w:hAnsi="Montserrat"/>
                <w:i/>
                <w:iCs/>
                <w:color w:val="FF0000"/>
                <w:sz w:val="18"/>
                <w:szCs w:val="18"/>
              </w:rPr>
            </w:pPr>
          </w:p>
        </w:tc>
      </w:tr>
      <w:tr w:rsidR="00CE3C0F" w14:paraId="0047497A" w14:textId="77777777" w:rsidTr="16E656DD">
        <w:trPr>
          <w:jc w:val="center"/>
        </w:trPr>
        <w:tc>
          <w:tcPr>
            <w:tcW w:w="15590" w:type="dxa"/>
            <w:gridSpan w:val="5"/>
            <w:shd w:val="clear" w:color="auto" w:fill="B7D6E1" w:themeFill="accent1"/>
          </w:tcPr>
          <w:p w14:paraId="35DB74B1" w14:textId="77777777" w:rsidR="008828AA" w:rsidRPr="008828AA" w:rsidRDefault="008828AA" w:rsidP="008828AA">
            <w:pPr>
              <w:pStyle w:val="ListBullet"/>
              <w:numPr>
                <w:ilvl w:val="0"/>
                <w:numId w:val="0"/>
              </w:numPr>
              <w:spacing w:before="120" w:after="120" w:line="286" w:lineRule="auto"/>
              <w:ind w:left="360" w:hanging="360"/>
              <w:rPr>
                <w:rFonts w:ascii="Montserrat" w:hAnsi="Montserrat"/>
                <w:b/>
                <w:bCs/>
                <w:szCs w:val="22"/>
              </w:rPr>
            </w:pPr>
            <w:r w:rsidRPr="008828AA">
              <w:rPr>
                <w:rFonts w:ascii="Montserrat" w:hAnsi="Montserrat"/>
                <w:b/>
                <w:bCs/>
                <w:szCs w:val="22"/>
              </w:rPr>
              <w:t>LEADERSHIP: Prioritise and embed a culture of zero tolerance for inaction.</w:t>
            </w:r>
          </w:p>
          <w:p w14:paraId="3F186E90" w14:textId="77777777" w:rsidR="008828AA" w:rsidRPr="008828AA" w:rsidRDefault="008828AA" w:rsidP="008828AA">
            <w:pPr>
              <w:pStyle w:val="ListBullet"/>
              <w:numPr>
                <w:ilvl w:val="1"/>
                <w:numId w:val="39"/>
              </w:numPr>
              <w:spacing w:before="120" w:after="120" w:line="286" w:lineRule="auto"/>
              <w:rPr>
                <w:rFonts w:ascii="Montserrat" w:hAnsi="Montserrat"/>
                <w:sz w:val="18"/>
                <w:szCs w:val="18"/>
              </w:rPr>
            </w:pPr>
            <w:r w:rsidRPr="008828AA">
              <w:rPr>
                <w:rFonts w:ascii="Montserrat" w:hAnsi="Montserrat"/>
                <w:b/>
                <w:bCs/>
                <w:szCs w:val="22"/>
              </w:rPr>
              <w:t>Leaders need to show clear and visible commitment to zero tolerance for inaction on SEAH. </w:t>
            </w:r>
            <w:r w:rsidRPr="008828AA">
              <w:rPr>
                <w:rFonts w:ascii="Montserrat" w:hAnsi="Montserrat"/>
                <w:sz w:val="18"/>
                <w:szCs w:val="18"/>
              </w:rPr>
              <w:t>Ways of doing this include appointing a senior PSEAH Champion, regularly highlighting the importance of taking action to prevent and respond to SEAH to staff and peers, training to recognise and address power imbalances, and fostering an inclusive and respectful working culture and environment where personnel and communities feel able to raise concerns.</w:t>
            </w:r>
          </w:p>
          <w:p w14:paraId="27564FFF" w14:textId="77777777" w:rsidR="008828AA" w:rsidRPr="008828AA" w:rsidRDefault="008828AA" w:rsidP="008828AA">
            <w:pPr>
              <w:pStyle w:val="ListBullet"/>
              <w:numPr>
                <w:ilvl w:val="1"/>
                <w:numId w:val="39"/>
              </w:numPr>
              <w:spacing w:before="120" w:after="120" w:line="286" w:lineRule="auto"/>
              <w:rPr>
                <w:rFonts w:ascii="Montserrat" w:hAnsi="Montserrat"/>
                <w:b/>
                <w:bCs/>
                <w:szCs w:val="22"/>
              </w:rPr>
            </w:pPr>
            <w:r w:rsidRPr="008828AA">
              <w:rPr>
                <w:rFonts w:ascii="Montserrat" w:hAnsi="Montserrat"/>
                <w:b/>
                <w:bCs/>
                <w:szCs w:val="22"/>
              </w:rPr>
              <w:t>Leaders should allocate sufficient resources to prevent and respond to SEAH. </w:t>
            </w:r>
            <w:r w:rsidRPr="008828AA">
              <w:rPr>
                <w:rFonts w:ascii="Montserrat" w:hAnsi="Montserrat"/>
                <w:sz w:val="18"/>
                <w:szCs w:val="18"/>
              </w:rPr>
              <w:t>Adequate human, technical and financial resources are needed to implement PSEAH policies, both within core business and specific pieces of work (projects/programmes etc). Put in place dedicated central PSEAH staff with overall responsibility for the development and implementation of PSEAH policies and activities, as well as networks of trained PSEAH champions or focal points.</w:t>
            </w:r>
          </w:p>
          <w:p w14:paraId="3547C0A1" w14:textId="77777777" w:rsidR="008828AA" w:rsidRPr="008828AA" w:rsidRDefault="008828AA" w:rsidP="008828AA">
            <w:pPr>
              <w:pStyle w:val="ListBullet"/>
              <w:numPr>
                <w:ilvl w:val="1"/>
                <w:numId w:val="39"/>
              </w:numPr>
              <w:spacing w:before="120" w:after="120" w:line="286" w:lineRule="auto"/>
              <w:rPr>
                <w:rFonts w:ascii="Montserrat" w:hAnsi="Montserrat"/>
                <w:sz w:val="18"/>
                <w:szCs w:val="18"/>
              </w:rPr>
            </w:pPr>
            <w:r w:rsidRPr="008828AA">
              <w:rPr>
                <w:rFonts w:ascii="Montserrat" w:hAnsi="Montserrat"/>
                <w:b/>
                <w:bCs/>
                <w:szCs w:val="22"/>
              </w:rPr>
              <w:t xml:space="preserve">Leaders should regularly assess and monitor the implementation and impact of efforts to prevent and respond to SEAH. </w:t>
            </w:r>
            <w:r w:rsidRPr="008828AA">
              <w:rPr>
                <w:rFonts w:ascii="Montserrat" w:hAnsi="Montserrat"/>
                <w:sz w:val="18"/>
                <w:szCs w:val="18"/>
              </w:rPr>
              <w:t>Case numbers, SEAH risk assessments, surveys, staff discussions and training completion rates, and routine monitoring can all help to track PSEAH culture and capability.</w:t>
            </w:r>
          </w:p>
          <w:p w14:paraId="6E5CFC48" w14:textId="30E6737E" w:rsidR="00CE3C0F" w:rsidRPr="00BC02AF" w:rsidRDefault="008828AA" w:rsidP="003A4798">
            <w:pPr>
              <w:pStyle w:val="ListBullet"/>
              <w:numPr>
                <w:ilvl w:val="1"/>
                <w:numId w:val="39"/>
              </w:numPr>
              <w:spacing w:before="120" w:after="120" w:line="286" w:lineRule="auto"/>
              <w:rPr>
                <w:rFonts w:ascii="Montserrat" w:hAnsi="Montserrat"/>
                <w:sz w:val="18"/>
                <w:szCs w:val="18"/>
              </w:rPr>
            </w:pPr>
            <w:r w:rsidRPr="008828AA">
              <w:rPr>
                <w:rFonts w:ascii="Montserrat" w:hAnsi="Montserrat"/>
                <w:b/>
                <w:bCs/>
                <w:szCs w:val="22"/>
              </w:rPr>
              <w:t xml:space="preserve">Leaders should set out and incentivise clear responsibilities on PSEAH. </w:t>
            </w:r>
            <w:r w:rsidRPr="008828AA">
              <w:rPr>
                <w:rFonts w:ascii="Montserrat" w:hAnsi="Montserrat"/>
                <w:sz w:val="18"/>
                <w:szCs w:val="18"/>
              </w:rPr>
              <w:t>Include specific responsibilities on PSEAH in relevant job descriptions and performance objectives, including those of senior managers. Monitor delivery of PSEAH objectives in performance appraisals.</w:t>
            </w:r>
          </w:p>
        </w:tc>
      </w:tr>
      <w:tr w:rsidR="00CE3C0F" w14:paraId="66728680" w14:textId="77777777" w:rsidTr="16E656DD">
        <w:trPr>
          <w:jc w:val="center"/>
        </w:trPr>
        <w:tc>
          <w:tcPr>
            <w:tcW w:w="1838" w:type="dxa"/>
          </w:tcPr>
          <w:p w14:paraId="49DA6F6A" w14:textId="1001A17D" w:rsidR="00CE3C0F" w:rsidRPr="00D75F08" w:rsidRDefault="0011151D" w:rsidP="0007658E">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Organisation</w:t>
            </w:r>
          </w:p>
        </w:tc>
        <w:tc>
          <w:tcPr>
            <w:tcW w:w="5954" w:type="dxa"/>
          </w:tcPr>
          <w:p w14:paraId="5BF101C9" w14:textId="478E68A4" w:rsidR="00CE3C0F" w:rsidRPr="00D75F08" w:rsidRDefault="00123C56" w:rsidP="0007658E">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CEO shared</w:t>
            </w:r>
            <w:r w:rsidR="009D0346">
              <w:rPr>
                <w:rFonts w:ascii="Montserrat" w:hAnsi="Montserrat"/>
                <w:i/>
                <w:iCs/>
                <w:color w:val="FF0000"/>
                <w:sz w:val="18"/>
                <w:szCs w:val="18"/>
              </w:rPr>
              <w:t xml:space="preserve"> email on SEAH and internal whistleblowing procedures with all staff</w:t>
            </w:r>
            <w:r w:rsidR="00E93120">
              <w:rPr>
                <w:rFonts w:ascii="Montserrat" w:hAnsi="Montserrat"/>
                <w:i/>
                <w:iCs/>
                <w:color w:val="FF0000"/>
                <w:sz w:val="18"/>
                <w:szCs w:val="18"/>
              </w:rPr>
              <w:t xml:space="preserve"> as reminder and to encourage reporting</w:t>
            </w:r>
          </w:p>
        </w:tc>
        <w:tc>
          <w:tcPr>
            <w:tcW w:w="2551" w:type="dxa"/>
          </w:tcPr>
          <w:p w14:paraId="47DE60CC" w14:textId="3B7685B3" w:rsidR="00CE3C0F" w:rsidRPr="00D75F08" w:rsidRDefault="00E93120" w:rsidP="0007658E">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CEO dept</w:t>
            </w:r>
          </w:p>
        </w:tc>
        <w:tc>
          <w:tcPr>
            <w:tcW w:w="2126" w:type="dxa"/>
          </w:tcPr>
          <w:p w14:paraId="393457B6" w14:textId="74FE49D1" w:rsidR="00CE3C0F" w:rsidRPr="00D75F08" w:rsidRDefault="00E93120" w:rsidP="0007658E">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 xml:space="preserve">December 2025, </w:t>
            </w:r>
            <w:r w:rsidR="00896485">
              <w:rPr>
                <w:rFonts w:ascii="Montserrat" w:hAnsi="Montserrat"/>
                <w:i/>
                <w:iCs/>
                <w:color w:val="FF0000"/>
                <w:sz w:val="18"/>
                <w:szCs w:val="18"/>
              </w:rPr>
              <w:t>June 2026</w:t>
            </w:r>
          </w:p>
        </w:tc>
        <w:tc>
          <w:tcPr>
            <w:tcW w:w="3121" w:type="dxa"/>
          </w:tcPr>
          <w:p w14:paraId="2815C6A6" w14:textId="52F13F8C" w:rsidR="00CE3C0F" w:rsidRPr="00D75F08" w:rsidRDefault="00896485" w:rsidP="0007658E">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 xml:space="preserve">Email shared with </w:t>
            </w:r>
            <w:r w:rsidR="0098532D">
              <w:rPr>
                <w:rFonts w:ascii="Montserrat" w:hAnsi="Montserrat"/>
                <w:i/>
                <w:iCs/>
                <w:color w:val="FF0000"/>
                <w:sz w:val="18"/>
                <w:szCs w:val="18"/>
              </w:rPr>
              <w:t>project partners to ensure awareness of lead organisation reporting pathway</w:t>
            </w:r>
          </w:p>
        </w:tc>
      </w:tr>
      <w:tr w:rsidR="009C2A04" w14:paraId="4D7D3E40" w14:textId="77777777" w:rsidTr="16E656DD">
        <w:trPr>
          <w:jc w:val="center"/>
        </w:trPr>
        <w:tc>
          <w:tcPr>
            <w:tcW w:w="1838" w:type="dxa"/>
          </w:tcPr>
          <w:p w14:paraId="529EBF2E" w14:textId="5F81E44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r>
              <w:rPr>
                <w:rFonts w:ascii="Montserrat" w:hAnsi="Montserrat"/>
                <w:i/>
                <w:iCs/>
                <w:color w:val="FF0000"/>
                <w:sz w:val="18"/>
                <w:szCs w:val="18"/>
              </w:rPr>
              <w:t>Project.</w:t>
            </w:r>
          </w:p>
        </w:tc>
        <w:tc>
          <w:tcPr>
            <w:tcW w:w="5954" w:type="dxa"/>
          </w:tcPr>
          <w:p w14:paraId="2F192A05" w14:textId="70E7EBDE" w:rsidR="009C2A04" w:rsidRPr="00BC02AF" w:rsidRDefault="009C2A04" w:rsidP="009C2A04">
            <w:pPr>
              <w:pStyle w:val="ListBullet"/>
              <w:numPr>
                <w:ilvl w:val="0"/>
                <w:numId w:val="0"/>
              </w:numPr>
              <w:spacing w:before="120" w:after="120" w:line="286" w:lineRule="auto"/>
              <w:ind w:left="360" w:hanging="360"/>
              <w:contextualSpacing w:val="0"/>
            </w:pPr>
            <w:r w:rsidRPr="009C2A04">
              <w:rPr>
                <w:rFonts w:ascii="Montserrat" w:hAnsi="Montserrat"/>
                <w:i/>
                <w:iCs/>
                <w:color w:val="FF0000"/>
                <w:sz w:val="18"/>
                <w:szCs w:val="18"/>
              </w:rPr>
              <w:t>Ensure resources for PSEAH activities are cascaded to all</w:t>
            </w:r>
            <w:r>
              <w:rPr>
                <w:rFonts w:ascii="Montserrat" w:hAnsi="Montserrat"/>
                <w:i/>
                <w:iCs/>
                <w:color w:val="FF0000"/>
                <w:sz w:val="18"/>
                <w:szCs w:val="18"/>
              </w:rPr>
              <w:t xml:space="preserve"> </w:t>
            </w:r>
            <w:r w:rsidRPr="009C2A04">
              <w:rPr>
                <w:rFonts w:ascii="Montserrat" w:hAnsi="Montserrat"/>
                <w:i/>
                <w:iCs/>
                <w:color w:val="FF0000"/>
                <w:sz w:val="18"/>
                <w:szCs w:val="18"/>
              </w:rPr>
              <w:t>implementing partners involved in programme delivery</w:t>
            </w:r>
          </w:p>
        </w:tc>
        <w:tc>
          <w:tcPr>
            <w:tcW w:w="2551" w:type="dxa"/>
          </w:tcPr>
          <w:p w14:paraId="736DC147" w14:textId="66FC18D6"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r>
              <w:rPr>
                <w:rFonts w:ascii="Montserrat" w:hAnsi="Montserrat"/>
                <w:i/>
                <w:iCs/>
                <w:color w:val="FF0000"/>
                <w:sz w:val="18"/>
                <w:szCs w:val="18"/>
              </w:rPr>
              <w:t>Project Leader</w:t>
            </w:r>
          </w:p>
        </w:tc>
        <w:tc>
          <w:tcPr>
            <w:tcW w:w="2126" w:type="dxa"/>
          </w:tcPr>
          <w:p w14:paraId="549CBB3A" w14:textId="443D18E7" w:rsidR="009C2A04" w:rsidRPr="00BC02AF" w:rsidRDefault="00EB6E0A" w:rsidP="009C2A04">
            <w:pPr>
              <w:pStyle w:val="ListBullet"/>
              <w:numPr>
                <w:ilvl w:val="0"/>
                <w:numId w:val="0"/>
              </w:numPr>
              <w:spacing w:before="120" w:after="120" w:line="286" w:lineRule="auto"/>
              <w:contextualSpacing w:val="0"/>
              <w:rPr>
                <w:rFonts w:ascii="Montserrat" w:hAnsi="Montserrat"/>
                <w:sz w:val="18"/>
                <w:szCs w:val="18"/>
              </w:rPr>
            </w:pPr>
            <w:r>
              <w:rPr>
                <w:rFonts w:ascii="Montserrat" w:hAnsi="Montserrat"/>
                <w:i/>
                <w:iCs/>
                <w:color w:val="FF0000"/>
                <w:sz w:val="18"/>
                <w:szCs w:val="18"/>
              </w:rPr>
              <w:t>February</w:t>
            </w:r>
            <w:r w:rsidR="009C2A04">
              <w:rPr>
                <w:rFonts w:ascii="Montserrat" w:hAnsi="Montserrat"/>
                <w:i/>
                <w:iCs/>
                <w:color w:val="FF0000"/>
                <w:sz w:val="18"/>
                <w:szCs w:val="18"/>
              </w:rPr>
              <w:t xml:space="preserve"> 202</w:t>
            </w:r>
            <w:r>
              <w:rPr>
                <w:rFonts w:ascii="Montserrat" w:hAnsi="Montserrat"/>
                <w:i/>
                <w:iCs/>
                <w:color w:val="FF0000"/>
                <w:sz w:val="18"/>
                <w:szCs w:val="18"/>
              </w:rPr>
              <w:t>6</w:t>
            </w:r>
          </w:p>
        </w:tc>
        <w:tc>
          <w:tcPr>
            <w:tcW w:w="3121" w:type="dxa"/>
          </w:tcPr>
          <w:p w14:paraId="1BC7726B" w14:textId="253FB987" w:rsidR="009C2A04" w:rsidRPr="00EB6E0A" w:rsidRDefault="008611EE"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 xml:space="preserve">Partners safeguarding meeting took place 25 January and </w:t>
            </w:r>
            <w:r w:rsidR="00180F4B">
              <w:rPr>
                <w:rFonts w:ascii="Montserrat" w:hAnsi="Montserrat"/>
                <w:i/>
                <w:iCs/>
                <w:color w:val="FF0000"/>
                <w:sz w:val="18"/>
                <w:szCs w:val="18"/>
              </w:rPr>
              <w:t>risk assessment tool shared</w:t>
            </w:r>
          </w:p>
        </w:tc>
      </w:tr>
      <w:tr w:rsidR="009C2A04" w14:paraId="234C9F37" w14:textId="77777777" w:rsidTr="16E656DD">
        <w:trPr>
          <w:jc w:val="center"/>
        </w:trPr>
        <w:tc>
          <w:tcPr>
            <w:tcW w:w="1838" w:type="dxa"/>
          </w:tcPr>
          <w:p w14:paraId="58C9ECBF"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5954" w:type="dxa"/>
          </w:tcPr>
          <w:p w14:paraId="558C50E0"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2551" w:type="dxa"/>
          </w:tcPr>
          <w:p w14:paraId="03077406"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2126" w:type="dxa"/>
          </w:tcPr>
          <w:p w14:paraId="4FFACB11"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3121" w:type="dxa"/>
          </w:tcPr>
          <w:p w14:paraId="634D308E"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r>
      <w:tr w:rsidR="009C2A04" w14:paraId="00905CC8" w14:textId="77777777" w:rsidTr="16E656DD">
        <w:trPr>
          <w:jc w:val="center"/>
        </w:trPr>
        <w:tc>
          <w:tcPr>
            <w:tcW w:w="15590" w:type="dxa"/>
            <w:gridSpan w:val="5"/>
            <w:shd w:val="clear" w:color="auto" w:fill="B7D6E1" w:themeFill="accent1"/>
          </w:tcPr>
          <w:p w14:paraId="1BB5BCBD" w14:textId="77777777" w:rsidR="009C2A04" w:rsidRPr="00921ED2" w:rsidRDefault="009C2A04" w:rsidP="009C2A04">
            <w:pPr>
              <w:spacing w:before="240" w:after="240"/>
              <w:rPr>
                <w:rFonts w:ascii="Montserrat" w:hAnsi="Montserrat"/>
                <w:b/>
                <w:bCs/>
                <w:szCs w:val="22"/>
              </w:rPr>
            </w:pPr>
            <w:r w:rsidRPr="00921ED2">
              <w:rPr>
                <w:rFonts w:ascii="Montserrat" w:hAnsi="Montserrat"/>
                <w:b/>
                <w:bCs/>
                <w:szCs w:val="22"/>
              </w:rPr>
              <w:t>COMMUNICATION: Consult, inform and coordinate with communities and partners.</w:t>
            </w:r>
          </w:p>
          <w:p w14:paraId="261659A1" w14:textId="77777777" w:rsidR="009C2A04" w:rsidRPr="00921ED2" w:rsidRDefault="009C2A04" w:rsidP="009C2A04">
            <w:pPr>
              <w:numPr>
                <w:ilvl w:val="1"/>
                <w:numId w:val="41"/>
              </w:numPr>
              <w:spacing w:before="240" w:after="240"/>
              <w:rPr>
                <w:rFonts w:ascii="Montserrat" w:hAnsi="Montserrat"/>
                <w:sz w:val="18"/>
                <w:szCs w:val="18"/>
              </w:rPr>
            </w:pPr>
            <w:r w:rsidRPr="00921ED2">
              <w:rPr>
                <w:rFonts w:ascii="Montserrat" w:hAnsi="Montserrat"/>
                <w:b/>
                <w:bCs/>
                <w:szCs w:val="22"/>
              </w:rPr>
              <w:t>Consult local people and communities.</w:t>
            </w:r>
            <w:r w:rsidRPr="00921ED2">
              <w:rPr>
                <w:rFonts w:ascii="Open Sans" w:hAnsi="Open Sans" w:cs="Open Sans"/>
                <w:color w:val="1D1D1B"/>
                <w:sz w:val="27"/>
                <w:szCs w:val="27"/>
              </w:rPr>
              <w:t xml:space="preserve"> </w:t>
            </w:r>
            <w:r w:rsidRPr="00921ED2">
              <w:rPr>
                <w:rFonts w:ascii="Montserrat" w:hAnsi="Montserrat"/>
                <w:sz w:val="18"/>
                <w:szCs w:val="18"/>
              </w:rPr>
              <w:t>Collaborate with, listen to, and use the knowledge of local people whose situation makes them most vulnerable to SEAH, and victim-survivors where possible, when designing PSEAH approaches, projects/programmes and reporting mechanisms. </w:t>
            </w:r>
          </w:p>
          <w:p w14:paraId="42794D74" w14:textId="77777777" w:rsidR="009C2A04" w:rsidRPr="00921ED2" w:rsidRDefault="009C2A04" w:rsidP="009C2A04">
            <w:pPr>
              <w:numPr>
                <w:ilvl w:val="1"/>
                <w:numId w:val="41"/>
              </w:numPr>
              <w:spacing w:before="240" w:after="240"/>
              <w:rPr>
                <w:rFonts w:ascii="Montserrat" w:hAnsi="Montserrat"/>
                <w:sz w:val="18"/>
                <w:szCs w:val="18"/>
              </w:rPr>
            </w:pPr>
            <w:r w:rsidRPr="00921ED2">
              <w:rPr>
                <w:rFonts w:ascii="Montserrat" w:hAnsi="Montserrat"/>
                <w:b/>
                <w:bCs/>
                <w:szCs w:val="22"/>
              </w:rPr>
              <w:lastRenderedPageBreak/>
              <w:t>Empower local communities.</w:t>
            </w:r>
            <w:r w:rsidRPr="00921ED2">
              <w:rPr>
                <w:rFonts w:ascii="Open Sans" w:hAnsi="Open Sans" w:cs="Open Sans"/>
                <w:color w:val="1D1D1B"/>
                <w:sz w:val="27"/>
                <w:szCs w:val="27"/>
              </w:rPr>
              <w:t> </w:t>
            </w:r>
            <w:r w:rsidRPr="00921ED2">
              <w:rPr>
                <w:rFonts w:ascii="Montserrat" w:hAnsi="Montserrat"/>
                <w:sz w:val="18"/>
                <w:szCs w:val="18"/>
              </w:rPr>
              <w:t>Engage with civil society, including women’s and human rights groups and national human rights institutions, to ensure those who come into contact with projects/programmes and operations know what standards of SEAH-related behaviour are expected, how to report, what happens if they</w:t>
            </w:r>
            <w:r w:rsidRPr="00921ED2">
              <w:rPr>
                <w:rFonts w:ascii="Open Sans" w:hAnsi="Open Sans" w:cs="Open Sans"/>
                <w:color w:val="1D1D1B"/>
                <w:sz w:val="27"/>
                <w:szCs w:val="27"/>
              </w:rPr>
              <w:t xml:space="preserve"> </w:t>
            </w:r>
            <w:r w:rsidRPr="00921ED2">
              <w:rPr>
                <w:rFonts w:ascii="Montserrat" w:hAnsi="Montserrat"/>
                <w:sz w:val="18"/>
                <w:szCs w:val="18"/>
              </w:rPr>
              <w:t>report, their rights and what support is available to them. Do so in a way which takes account of local context, cultures, and is accessible to as many people as possible.</w:t>
            </w:r>
          </w:p>
          <w:p w14:paraId="7EDD0832" w14:textId="76A4D853" w:rsidR="009C2A04" w:rsidRPr="00BC02AF" w:rsidRDefault="009C2A04" w:rsidP="009C2A04">
            <w:pPr>
              <w:numPr>
                <w:ilvl w:val="1"/>
                <w:numId w:val="41"/>
              </w:numPr>
              <w:spacing w:before="240" w:after="240"/>
              <w:rPr>
                <w:rFonts w:ascii="Montserrat" w:hAnsi="Montserrat"/>
                <w:sz w:val="18"/>
                <w:szCs w:val="18"/>
              </w:rPr>
            </w:pPr>
            <w:r w:rsidRPr="00921ED2">
              <w:rPr>
                <w:rFonts w:ascii="Montserrat" w:hAnsi="Montserrat"/>
                <w:b/>
                <w:bCs/>
                <w:szCs w:val="22"/>
              </w:rPr>
              <w:t xml:space="preserve">Collaborate and coordinate with partners and </w:t>
            </w:r>
            <w:r w:rsidR="008D73A7" w:rsidRPr="00921ED2">
              <w:rPr>
                <w:rFonts w:ascii="Montserrat" w:hAnsi="Montserrat"/>
                <w:b/>
                <w:bCs/>
                <w:szCs w:val="22"/>
              </w:rPr>
              <w:t>peers and</w:t>
            </w:r>
            <w:r w:rsidRPr="00921ED2">
              <w:rPr>
                <w:rFonts w:ascii="Montserrat" w:hAnsi="Montserrat"/>
                <w:b/>
                <w:bCs/>
                <w:szCs w:val="22"/>
              </w:rPr>
              <w:t xml:space="preserve"> seek out learning and best practice to strengthen and align PSEAH approaches. </w:t>
            </w:r>
            <w:r w:rsidRPr="00921ED2">
              <w:rPr>
                <w:rFonts w:ascii="Montserrat" w:hAnsi="Montserrat"/>
                <w:sz w:val="18"/>
                <w:szCs w:val="18"/>
              </w:rPr>
              <w:t>Participate in PSEAH networks and coordination efforts, and use resources to make PSEAH approaches effective, building where possible on existing structures to be accountable to affected populations and prevent and respond to gender-based violence.</w:t>
            </w:r>
          </w:p>
        </w:tc>
      </w:tr>
      <w:tr w:rsidR="009C2A04" w14:paraId="371E595E" w14:textId="77777777" w:rsidTr="16E656DD">
        <w:trPr>
          <w:jc w:val="center"/>
        </w:trPr>
        <w:tc>
          <w:tcPr>
            <w:tcW w:w="1838" w:type="dxa"/>
          </w:tcPr>
          <w:p w14:paraId="3D440673" w14:textId="03F29690" w:rsidR="009C2A04" w:rsidRPr="00133BB2"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lastRenderedPageBreak/>
              <w:t>Organisation</w:t>
            </w:r>
          </w:p>
        </w:tc>
        <w:tc>
          <w:tcPr>
            <w:tcW w:w="5954" w:type="dxa"/>
          </w:tcPr>
          <w:p w14:paraId="75B8408B" w14:textId="1D13BDA8" w:rsidR="009C2A04" w:rsidRPr="00133BB2" w:rsidRDefault="009B1300"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 xml:space="preserve">Safeguarding Lead is part of </w:t>
            </w:r>
            <w:r w:rsidR="00623C51">
              <w:rPr>
                <w:rFonts w:ascii="Montserrat" w:hAnsi="Montserrat"/>
                <w:i/>
                <w:iCs/>
                <w:color w:val="FF0000"/>
                <w:sz w:val="18"/>
                <w:szCs w:val="18"/>
              </w:rPr>
              <w:t>country wide PSEA Network</w:t>
            </w:r>
          </w:p>
        </w:tc>
        <w:tc>
          <w:tcPr>
            <w:tcW w:w="2551" w:type="dxa"/>
          </w:tcPr>
          <w:p w14:paraId="389106D6" w14:textId="7153FF64" w:rsidR="009C2A04" w:rsidRPr="00133BB2"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Lead Organisation &amp; Project Partners</w:t>
            </w:r>
          </w:p>
        </w:tc>
        <w:tc>
          <w:tcPr>
            <w:tcW w:w="2126" w:type="dxa"/>
          </w:tcPr>
          <w:p w14:paraId="2EC020C7" w14:textId="201DA9EB" w:rsidR="009C2A04" w:rsidRPr="00133BB2" w:rsidRDefault="00BE5AE3"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Quarterly</w:t>
            </w:r>
            <w:r w:rsidR="00623C51">
              <w:rPr>
                <w:rFonts w:ascii="Montserrat" w:hAnsi="Montserrat"/>
                <w:i/>
                <w:iCs/>
                <w:color w:val="FF0000"/>
                <w:sz w:val="18"/>
                <w:szCs w:val="18"/>
              </w:rPr>
              <w:t xml:space="preserve"> online meetings with network</w:t>
            </w:r>
          </w:p>
        </w:tc>
        <w:tc>
          <w:tcPr>
            <w:tcW w:w="3121" w:type="dxa"/>
          </w:tcPr>
          <w:p w14:paraId="1BB62E63" w14:textId="5C6BC3D3" w:rsidR="009C2A04" w:rsidRPr="00133BB2" w:rsidRDefault="00BE5AE3"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Meeting notes shared with all project SFPs as part of regular community of practice meetings</w:t>
            </w:r>
          </w:p>
        </w:tc>
      </w:tr>
      <w:tr w:rsidR="009C2A04" w14:paraId="7D13BFB8" w14:textId="77777777" w:rsidTr="16E656DD">
        <w:trPr>
          <w:jc w:val="center"/>
        </w:trPr>
        <w:tc>
          <w:tcPr>
            <w:tcW w:w="1838" w:type="dxa"/>
          </w:tcPr>
          <w:p w14:paraId="225736FA" w14:textId="6E7CFAA8" w:rsidR="009C2A04" w:rsidRPr="009D045B"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Project</w:t>
            </w:r>
          </w:p>
        </w:tc>
        <w:tc>
          <w:tcPr>
            <w:tcW w:w="5954" w:type="dxa"/>
          </w:tcPr>
          <w:p w14:paraId="06E4E7C5" w14:textId="78909A14" w:rsidR="009C2A04" w:rsidRPr="009D045B" w:rsidRDefault="00C00CB2" w:rsidP="009C2A04">
            <w:pPr>
              <w:pStyle w:val="ListBullet"/>
              <w:numPr>
                <w:ilvl w:val="0"/>
                <w:numId w:val="0"/>
              </w:numPr>
              <w:spacing w:before="120" w:after="120" w:line="286" w:lineRule="auto"/>
              <w:contextualSpacing w:val="0"/>
              <w:rPr>
                <w:rFonts w:ascii="Montserrat" w:hAnsi="Montserrat"/>
                <w:i/>
                <w:iCs/>
                <w:color w:val="FF0000"/>
                <w:sz w:val="18"/>
                <w:szCs w:val="18"/>
              </w:rPr>
            </w:pPr>
            <w:r w:rsidRPr="00C00CB2">
              <w:rPr>
                <w:rFonts w:ascii="Montserrat" w:hAnsi="Montserrat"/>
                <w:i/>
                <w:iCs/>
                <w:color w:val="FF0000"/>
                <w:sz w:val="18"/>
                <w:szCs w:val="18"/>
              </w:rPr>
              <w:t>Provide information about expected staff behaviours in relation to PSEAH and organisational PSEAH commitments to communities, affected people and others who come into contact with the project or programme, so that they understand their rights and entitlements.</w:t>
            </w:r>
          </w:p>
        </w:tc>
        <w:tc>
          <w:tcPr>
            <w:tcW w:w="2551" w:type="dxa"/>
          </w:tcPr>
          <w:p w14:paraId="169C26F8" w14:textId="5B61083C" w:rsidR="009C2A04" w:rsidRPr="009D045B"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rPr>
            </w:pPr>
            <w:r w:rsidRPr="009D045B">
              <w:rPr>
                <w:rFonts w:ascii="Montserrat" w:hAnsi="Montserrat"/>
                <w:i/>
                <w:iCs/>
                <w:color w:val="FF0000"/>
                <w:sz w:val="18"/>
                <w:szCs w:val="18"/>
              </w:rPr>
              <w:t>Lead Organisation &amp; Project Partners</w:t>
            </w:r>
          </w:p>
        </w:tc>
        <w:tc>
          <w:tcPr>
            <w:tcW w:w="2126" w:type="dxa"/>
          </w:tcPr>
          <w:p w14:paraId="7F8FA69F" w14:textId="3485BC6A" w:rsidR="009C2A04" w:rsidRPr="009D045B"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rPr>
            </w:pPr>
            <w:r w:rsidRPr="009D045B">
              <w:rPr>
                <w:rFonts w:ascii="Montserrat" w:hAnsi="Montserrat"/>
                <w:i/>
                <w:iCs/>
                <w:color w:val="FF0000"/>
                <w:sz w:val="18"/>
                <w:szCs w:val="18"/>
              </w:rPr>
              <w:t>October – December 2024</w:t>
            </w:r>
          </w:p>
        </w:tc>
        <w:tc>
          <w:tcPr>
            <w:tcW w:w="3121" w:type="dxa"/>
          </w:tcPr>
          <w:p w14:paraId="44F81A3F" w14:textId="02AD3623" w:rsidR="009C2A04" w:rsidRPr="009D045B" w:rsidRDefault="00E03939"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 xml:space="preserve">Project induction meeting held to inform project participants of expected conduct for staff and to inform of the </w:t>
            </w:r>
            <w:r w:rsidR="00950385">
              <w:rPr>
                <w:rFonts w:ascii="Montserrat" w:hAnsi="Montserrat"/>
                <w:i/>
                <w:iCs/>
                <w:color w:val="FF0000"/>
                <w:sz w:val="18"/>
                <w:szCs w:val="18"/>
              </w:rPr>
              <w:t>CFRM</w:t>
            </w:r>
          </w:p>
        </w:tc>
      </w:tr>
      <w:tr w:rsidR="009C2A04" w14:paraId="7514E42B" w14:textId="77777777" w:rsidTr="16E656DD">
        <w:trPr>
          <w:jc w:val="center"/>
        </w:trPr>
        <w:tc>
          <w:tcPr>
            <w:tcW w:w="1838" w:type="dxa"/>
          </w:tcPr>
          <w:p w14:paraId="6A0EFA11"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5954" w:type="dxa"/>
          </w:tcPr>
          <w:p w14:paraId="5B9C4D25"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2551" w:type="dxa"/>
          </w:tcPr>
          <w:p w14:paraId="16485EA8"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2126" w:type="dxa"/>
          </w:tcPr>
          <w:p w14:paraId="7164212E"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3121" w:type="dxa"/>
          </w:tcPr>
          <w:p w14:paraId="2959CCDC"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r>
      <w:tr w:rsidR="009C2A04" w14:paraId="1CDA8D6B" w14:textId="77777777" w:rsidTr="16E656DD">
        <w:trPr>
          <w:jc w:val="center"/>
        </w:trPr>
        <w:tc>
          <w:tcPr>
            <w:tcW w:w="1838" w:type="dxa"/>
          </w:tcPr>
          <w:p w14:paraId="093C2480"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5954" w:type="dxa"/>
          </w:tcPr>
          <w:p w14:paraId="6350FAC5"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2551" w:type="dxa"/>
          </w:tcPr>
          <w:p w14:paraId="34B14137"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2126" w:type="dxa"/>
          </w:tcPr>
          <w:p w14:paraId="0F1FB92B"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3121" w:type="dxa"/>
          </w:tcPr>
          <w:p w14:paraId="4F0F6676"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r>
      <w:tr w:rsidR="009C2A04" w14:paraId="6EA8378B" w14:textId="77777777" w:rsidTr="16E656DD">
        <w:trPr>
          <w:jc w:val="center"/>
        </w:trPr>
        <w:tc>
          <w:tcPr>
            <w:tcW w:w="15590" w:type="dxa"/>
            <w:gridSpan w:val="5"/>
            <w:shd w:val="clear" w:color="auto" w:fill="B7D6E1" w:themeFill="accent1"/>
          </w:tcPr>
          <w:p w14:paraId="0AF4DFD5" w14:textId="77777777" w:rsidR="009C2A04" w:rsidRPr="00EA7D53" w:rsidRDefault="009C2A04" w:rsidP="009C2A04">
            <w:pPr>
              <w:spacing w:before="240" w:after="240"/>
              <w:rPr>
                <w:rFonts w:ascii="Montserrat" w:hAnsi="Montserrat"/>
                <w:b/>
                <w:bCs/>
                <w:szCs w:val="22"/>
              </w:rPr>
            </w:pPr>
            <w:r w:rsidRPr="00EA7D53">
              <w:rPr>
                <w:rFonts w:ascii="Montserrat" w:hAnsi="Montserrat"/>
                <w:b/>
                <w:bCs/>
                <w:szCs w:val="22"/>
              </w:rPr>
              <w:t>PREVENTION: Assess SEAH risk and take action to prevent SEAH across all activities</w:t>
            </w:r>
          </w:p>
          <w:p w14:paraId="6F3BB7CE" w14:textId="77777777" w:rsidR="009C2A04" w:rsidRPr="00EA7D53" w:rsidRDefault="009C2A04" w:rsidP="009C2A04">
            <w:pPr>
              <w:numPr>
                <w:ilvl w:val="1"/>
                <w:numId w:val="43"/>
              </w:numPr>
              <w:spacing w:before="240" w:after="240"/>
              <w:rPr>
                <w:rFonts w:ascii="Montserrat" w:hAnsi="Montserrat"/>
                <w:sz w:val="18"/>
                <w:szCs w:val="18"/>
              </w:rPr>
            </w:pPr>
            <w:r w:rsidRPr="00EA7D53">
              <w:rPr>
                <w:rFonts w:ascii="Montserrat" w:hAnsi="Montserrat"/>
                <w:b/>
                <w:bCs/>
                <w:szCs w:val="22"/>
              </w:rPr>
              <w:t>Mainstream protection from SEAH. </w:t>
            </w:r>
            <w:r w:rsidRPr="00EA7D53">
              <w:rPr>
                <w:rFonts w:ascii="Montserrat" w:hAnsi="Montserrat"/>
                <w:sz w:val="18"/>
                <w:szCs w:val="18"/>
              </w:rPr>
              <w:t>Embed PSEAH measures (training, risk management, due diligence, reporting, detection and vetting) into the culture, design and running of offices, operations, projects/programmes and missions. </w:t>
            </w:r>
          </w:p>
          <w:p w14:paraId="61075A56" w14:textId="77777777" w:rsidR="009C2A04" w:rsidRPr="00EA7D53" w:rsidRDefault="009C2A04" w:rsidP="009C2A04">
            <w:pPr>
              <w:numPr>
                <w:ilvl w:val="1"/>
                <w:numId w:val="43"/>
              </w:numPr>
              <w:spacing w:before="240" w:after="240"/>
              <w:rPr>
                <w:rFonts w:ascii="Montserrat" w:hAnsi="Montserrat"/>
                <w:sz w:val="18"/>
                <w:szCs w:val="18"/>
              </w:rPr>
            </w:pPr>
            <w:r w:rsidRPr="00EA7D53">
              <w:rPr>
                <w:rFonts w:ascii="Montserrat" w:hAnsi="Montserrat"/>
                <w:b/>
                <w:bCs/>
                <w:szCs w:val="22"/>
              </w:rPr>
              <w:t>Understand, reduce and manage the risk of SEAH.</w:t>
            </w:r>
            <w:r w:rsidRPr="00EA7D53">
              <w:rPr>
                <w:rFonts w:ascii="Open Sans" w:hAnsi="Open Sans" w:cs="Open Sans"/>
                <w:color w:val="1D1D1B"/>
                <w:sz w:val="27"/>
                <w:szCs w:val="27"/>
              </w:rPr>
              <w:t> </w:t>
            </w:r>
            <w:r w:rsidRPr="00EA7D53">
              <w:rPr>
                <w:rFonts w:ascii="Montserrat" w:hAnsi="Montserrat"/>
                <w:sz w:val="18"/>
                <w:szCs w:val="18"/>
              </w:rPr>
              <w:t>Assess and monitor SEAH risks regularly based on an understanding of the local delivery context or working environment and the specific vulnerabilities and needs of affected groups. Use targeted training and awareness raising, e.g. on power imbalance and PSEAH awareness, to mitigate risk of poor conduct. Use assessments to take actions which are revisited on a regular basis with evidence of how changes to programs and operations are being implemented.</w:t>
            </w:r>
          </w:p>
          <w:p w14:paraId="722182DC" w14:textId="77777777" w:rsidR="009C2A04" w:rsidRPr="00EA7D53" w:rsidRDefault="009C2A04" w:rsidP="009C2A04">
            <w:pPr>
              <w:numPr>
                <w:ilvl w:val="1"/>
                <w:numId w:val="43"/>
              </w:numPr>
              <w:spacing w:before="240" w:after="240"/>
              <w:rPr>
                <w:rFonts w:ascii="Montserrat" w:hAnsi="Montserrat"/>
                <w:sz w:val="18"/>
                <w:szCs w:val="18"/>
              </w:rPr>
            </w:pPr>
            <w:r w:rsidRPr="00EA7D53">
              <w:rPr>
                <w:rFonts w:ascii="Montserrat" w:hAnsi="Montserrat"/>
                <w:b/>
                <w:bCs/>
                <w:szCs w:val="22"/>
              </w:rPr>
              <w:t>Engage affected communities in the design of mechanisms to prevent and report SEAH.</w:t>
            </w:r>
            <w:r w:rsidRPr="00EA7D53">
              <w:rPr>
                <w:rFonts w:ascii="Open Sans" w:hAnsi="Open Sans" w:cs="Open Sans"/>
                <w:color w:val="1D1D1B"/>
                <w:sz w:val="27"/>
                <w:szCs w:val="27"/>
              </w:rPr>
              <w:t xml:space="preserve"> </w:t>
            </w:r>
            <w:r w:rsidRPr="00EA7D53">
              <w:rPr>
                <w:rFonts w:ascii="Montserrat" w:hAnsi="Montserrat"/>
                <w:sz w:val="18"/>
                <w:szCs w:val="18"/>
              </w:rPr>
              <w:t xml:space="preserve">Ensure people at high risk of SEAH, affected communities and others in contact with projects/programmes can raise the SEAH risks they face and help design prevention and risk mitigation </w:t>
            </w:r>
            <w:r w:rsidRPr="00EA7D53">
              <w:rPr>
                <w:rFonts w:ascii="Montserrat" w:hAnsi="Montserrat"/>
                <w:sz w:val="18"/>
                <w:szCs w:val="18"/>
              </w:rPr>
              <w:lastRenderedPageBreak/>
              <w:t>strategies. Understand and support wider efforts to tackle gender equality, gender-based violence, and other power imbalances which enable SEAH to happen in a specific context.</w:t>
            </w:r>
          </w:p>
          <w:p w14:paraId="076FFF77" w14:textId="72E12ED6" w:rsidR="009C2A04" w:rsidRPr="00BC02AF" w:rsidRDefault="009C2A04" w:rsidP="009C2A04">
            <w:pPr>
              <w:numPr>
                <w:ilvl w:val="1"/>
                <w:numId w:val="43"/>
              </w:numPr>
              <w:spacing w:before="240" w:after="240"/>
              <w:rPr>
                <w:rFonts w:ascii="Montserrat" w:hAnsi="Montserrat"/>
                <w:sz w:val="18"/>
                <w:szCs w:val="18"/>
              </w:rPr>
            </w:pPr>
            <w:r w:rsidRPr="00EA7D53">
              <w:rPr>
                <w:rFonts w:ascii="Montserrat" w:hAnsi="Montserrat"/>
                <w:b/>
                <w:bCs/>
                <w:szCs w:val="22"/>
              </w:rPr>
              <w:t>Use relevant vetting schemes and recruitment processes to prevent the hiring of perpetrators of SEAH.</w:t>
            </w:r>
            <w:r w:rsidRPr="00EA7D53">
              <w:rPr>
                <w:rFonts w:ascii="Open Sans" w:hAnsi="Open Sans" w:cs="Open Sans"/>
                <w:color w:val="1D1D1B"/>
                <w:sz w:val="27"/>
                <w:szCs w:val="27"/>
              </w:rPr>
              <w:t xml:space="preserve"> </w:t>
            </w:r>
            <w:r w:rsidRPr="00EA7D53">
              <w:rPr>
                <w:rFonts w:ascii="Montserrat" w:hAnsi="Montserrat"/>
                <w:sz w:val="18"/>
                <w:szCs w:val="18"/>
              </w:rPr>
              <w:t xml:space="preserve">E.g. Conduct pre-employment checks such as references and use tools like the </w:t>
            </w:r>
            <w:hyperlink r:id="rId22" w:history="1">
              <w:r w:rsidRPr="006F5F0A">
                <w:rPr>
                  <w:rStyle w:val="Hyperlink"/>
                  <w:rFonts w:ascii="Montserrat" w:hAnsi="Montserrat"/>
                  <w:sz w:val="18"/>
                  <w:szCs w:val="18"/>
                </w:rPr>
                <w:t>Misconduct Disclosure Scheme</w:t>
              </w:r>
            </w:hyperlink>
            <w:r w:rsidRPr="00EA7D53">
              <w:rPr>
                <w:rFonts w:ascii="Montserrat" w:hAnsi="Montserrat"/>
                <w:sz w:val="18"/>
                <w:szCs w:val="18"/>
              </w:rPr>
              <w:t xml:space="preserve">, and (for the UN) </w:t>
            </w:r>
            <w:hyperlink r:id="rId23" w:history="1">
              <w:proofErr w:type="spellStart"/>
              <w:r w:rsidRPr="0014327D">
                <w:rPr>
                  <w:rStyle w:val="Hyperlink"/>
                  <w:rFonts w:ascii="Montserrat" w:hAnsi="Montserrat"/>
                  <w:sz w:val="18"/>
                  <w:szCs w:val="18"/>
                </w:rPr>
                <w:t>Clearcheck</w:t>
              </w:r>
              <w:proofErr w:type="spellEnd"/>
              <w:r w:rsidRPr="0014327D">
                <w:rPr>
                  <w:rStyle w:val="Hyperlink"/>
                  <w:rFonts w:ascii="Montserrat" w:hAnsi="Montserrat"/>
                  <w:sz w:val="18"/>
                  <w:szCs w:val="18"/>
                </w:rPr>
                <w:t>.</w:t>
              </w:r>
            </w:hyperlink>
          </w:p>
        </w:tc>
      </w:tr>
      <w:tr w:rsidR="009C2A04" w14:paraId="059CD534" w14:textId="77777777" w:rsidTr="16E656DD">
        <w:trPr>
          <w:jc w:val="center"/>
        </w:trPr>
        <w:tc>
          <w:tcPr>
            <w:tcW w:w="1838" w:type="dxa"/>
          </w:tcPr>
          <w:p w14:paraId="4667BBFE" w14:textId="2A58BCCE" w:rsidR="009C2A04" w:rsidRPr="00EA5005"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lastRenderedPageBreak/>
              <w:t>Organisation</w:t>
            </w:r>
          </w:p>
        </w:tc>
        <w:tc>
          <w:tcPr>
            <w:tcW w:w="5954" w:type="dxa"/>
          </w:tcPr>
          <w:p w14:paraId="14A3D9B7" w14:textId="5078FC7E" w:rsidR="009C2A04" w:rsidRPr="00EA5005" w:rsidRDefault="00E5479A"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 xml:space="preserve">Lead Partner has joined the Misconduct Disclosure Scheme (MDS) and has added police background checks as part of the hiring process for all staff. </w:t>
            </w:r>
          </w:p>
        </w:tc>
        <w:tc>
          <w:tcPr>
            <w:tcW w:w="2551" w:type="dxa"/>
          </w:tcPr>
          <w:p w14:paraId="6CE3FE2C" w14:textId="1F205C41" w:rsidR="009C2A04" w:rsidRPr="00EA5005" w:rsidRDefault="00E5479A"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HR</w:t>
            </w:r>
            <w:r w:rsidR="000D4B9A">
              <w:rPr>
                <w:rFonts w:ascii="Montserrat" w:hAnsi="Montserrat"/>
                <w:i/>
                <w:iCs/>
                <w:color w:val="FF0000"/>
                <w:sz w:val="18"/>
                <w:szCs w:val="18"/>
              </w:rPr>
              <w:t xml:space="preserve"> Department</w:t>
            </w:r>
          </w:p>
        </w:tc>
        <w:tc>
          <w:tcPr>
            <w:tcW w:w="2126" w:type="dxa"/>
          </w:tcPr>
          <w:p w14:paraId="019ABCC6" w14:textId="23CC3B22" w:rsidR="009C2A04" w:rsidRPr="00EA5005" w:rsidRDefault="000D4B9A"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Joined MDS January 2026, ongoing</w:t>
            </w:r>
          </w:p>
        </w:tc>
        <w:tc>
          <w:tcPr>
            <w:tcW w:w="3121" w:type="dxa"/>
          </w:tcPr>
          <w:p w14:paraId="2848A2DE" w14:textId="36906558" w:rsidR="009C2A04" w:rsidRPr="00EA5005" w:rsidRDefault="007B52EC"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 xml:space="preserve">Joined MDS and retroactive background checks are </w:t>
            </w:r>
            <w:r w:rsidR="00C235D2">
              <w:rPr>
                <w:rFonts w:ascii="Montserrat" w:hAnsi="Montserrat"/>
                <w:i/>
                <w:iCs/>
                <w:color w:val="FF0000"/>
                <w:sz w:val="18"/>
                <w:szCs w:val="18"/>
              </w:rPr>
              <w:t xml:space="preserve">ongoing; all new hires will be screened </w:t>
            </w:r>
          </w:p>
        </w:tc>
      </w:tr>
      <w:tr w:rsidR="009C2A04" w14:paraId="2EC79A05" w14:textId="77777777" w:rsidTr="16E656DD">
        <w:trPr>
          <w:jc w:val="center"/>
        </w:trPr>
        <w:tc>
          <w:tcPr>
            <w:tcW w:w="1838" w:type="dxa"/>
          </w:tcPr>
          <w:p w14:paraId="6CABCD7E" w14:textId="4BA8FDE2"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r>
              <w:rPr>
                <w:rFonts w:ascii="Montserrat" w:hAnsi="Montserrat"/>
                <w:i/>
                <w:iCs/>
                <w:color w:val="FF0000"/>
                <w:sz w:val="18"/>
                <w:szCs w:val="18"/>
              </w:rPr>
              <w:t>Project</w:t>
            </w:r>
          </w:p>
        </w:tc>
        <w:tc>
          <w:tcPr>
            <w:tcW w:w="5954" w:type="dxa"/>
          </w:tcPr>
          <w:p w14:paraId="15F759AB" w14:textId="3F73B8D8" w:rsidR="009C2A04" w:rsidRPr="00BC02AF" w:rsidRDefault="00982A6D" w:rsidP="009C2A04">
            <w:pPr>
              <w:pStyle w:val="ListBullet"/>
              <w:numPr>
                <w:ilvl w:val="0"/>
                <w:numId w:val="0"/>
              </w:numPr>
              <w:spacing w:before="120" w:after="120" w:line="286" w:lineRule="auto"/>
              <w:contextualSpacing w:val="0"/>
              <w:rPr>
                <w:rFonts w:ascii="Montserrat" w:hAnsi="Montserrat"/>
                <w:sz w:val="18"/>
                <w:szCs w:val="18"/>
              </w:rPr>
            </w:pPr>
            <w:r w:rsidRPr="00982A6D">
              <w:rPr>
                <w:rFonts w:ascii="Montserrat" w:hAnsi="Montserrat"/>
                <w:i/>
                <w:iCs/>
                <w:color w:val="FF0000"/>
                <w:sz w:val="18"/>
                <w:szCs w:val="18"/>
              </w:rPr>
              <w:t>Consider SEAH as a specific risk category and ensure SEAH risks are proactively and regularly reviewed, discussed, responded to and escalated when required. If you use risk appetite tools, set an appetite for safeguarding against SEAH and review it on a regular basi</w:t>
            </w:r>
            <w:r>
              <w:rPr>
                <w:rFonts w:ascii="Montserrat" w:hAnsi="Montserrat"/>
                <w:i/>
                <w:iCs/>
                <w:color w:val="FF0000"/>
                <w:sz w:val="18"/>
                <w:szCs w:val="18"/>
              </w:rPr>
              <w:t>s</w:t>
            </w:r>
          </w:p>
        </w:tc>
        <w:tc>
          <w:tcPr>
            <w:tcW w:w="2551" w:type="dxa"/>
          </w:tcPr>
          <w:p w14:paraId="4D37ACCB" w14:textId="2E6F4A3E" w:rsidR="009C2A04" w:rsidRPr="00BC02AF" w:rsidRDefault="00982A6D" w:rsidP="009C2A04">
            <w:pPr>
              <w:pStyle w:val="ListBullet"/>
              <w:numPr>
                <w:ilvl w:val="0"/>
                <w:numId w:val="0"/>
              </w:numPr>
              <w:spacing w:before="120" w:after="120" w:line="286" w:lineRule="auto"/>
              <w:contextualSpacing w:val="0"/>
              <w:rPr>
                <w:rFonts w:ascii="Montserrat" w:hAnsi="Montserrat"/>
                <w:sz w:val="18"/>
                <w:szCs w:val="18"/>
              </w:rPr>
            </w:pPr>
            <w:r w:rsidRPr="00982A6D">
              <w:rPr>
                <w:rFonts w:ascii="Montserrat" w:hAnsi="Montserrat"/>
                <w:i/>
                <w:iCs/>
                <w:color w:val="FF0000"/>
                <w:sz w:val="18"/>
                <w:szCs w:val="18"/>
              </w:rPr>
              <w:t>Safeguarding Focal Point</w:t>
            </w:r>
          </w:p>
        </w:tc>
        <w:tc>
          <w:tcPr>
            <w:tcW w:w="2126" w:type="dxa"/>
          </w:tcPr>
          <w:p w14:paraId="6BECC002" w14:textId="48A395BA" w:rsidR="009C2A04" w:rsidRPr="00BC02AF" w:rsidRDefault="005B0CF7" w:rsidP="009C2A04">
            <w:pPr>
              <w:pStyle w:val="ListBullet"/>
              <w:numPr>
                <w:ilvl w:val="0"/>
                <w:numId w:val="0"/>
              </w:numPr>
              <w:spacing w:before="120" w:after="120" w:line="286" w:lineRule="auto"/>
              <w:contextualSpacing w:val="0"/>
              <w:rPr>
                <w:rFonts w:ascii="Montserrat" w:hAnsi="Montserrat"/>
                <w:sz w:val="18"/>
                <w:szCs w:val="18"/>
              </w:rPr>
            </w:pPr>
            <w:r w:rsidRPr="005B0CF7">
              <w:rPr>
                <w:rFonts w:ascii="Montserrat" w:hAnsi="Montserrat"/>
                <w:i/>
                <w:iCs/>
                <w:color w:val="FF0000"/>
                <w:sz w:val="18"/>
                <w:szCs w:val="18"/>
              </w:rPr>
              <w:t>September 2025</w:t>
            </w:r>
          </w:p>
        </w:tc>
        <w:tc>
          <w:tcPr>
            <w:tcW w:w="3121" w:type="dxa"/>
          </w:tcPr>
          <w:p w14:paraId="748F0BE1" w14:textId="4F7F6C68" w:rsidR="009C2A04" w:rsidRPr="00BC02AF" w:rsidRDefault="005B0CF7" w:rsidP="009C2A04">
            <w:pPr>
              <w:pStyle w:val="ListBullet"/>
              <w:numPr>
                <w:ilvl w:val="0"/>
                <w:numId w:val="0"/>
              </w:numPr>
              <w:spacing w:before="120" w:after="120" w:line="286" w:lineRule="auto"/>
              <w:contextualSpacing w:val="0"/>
              <w:rPr>
                <w:rFonts w:ascii="Montserrat" w:hAnsi="Montserrat"/>
                <w:sz w:val="18"/>
                <w:szCs w:val="18"/>
              </w:rPr>
            </w:pPr>
            <w:r w:rsidRPr="00B33947">
              <w:rPr>
                <w:rFonts w:ascii="Montserrat" w:hAnsi="Montserrat"/>
                <w:i/>
                <w:iCs/>
                <w:color w:val="FF0000"/>
                <w:sz w:val="18"/>
                <w:szCs w:val="18"/>
              </w:rPr>
              <w:t xml:space="preserve">Following advice from Annual Report, changes were made to the risk register to </w:t>
            </w:r>
            <w:r w:rsidR="00B33947" w:rsidRPr="00B33947">
              <w:rPr>
                <w:rFonts w:ascii="Montserrat" w:hAnsi="Montserrat"/>
                <w:i/>
                <w:iCs/>
                <w:color w:val="FF0000"/>
                <w:sz w:val="18"/>
                <w:szCs w:val="18"/>
              </w:rPr>
              <w:t xml:space="preserve">improve mitigations; this was then shared with staff and risk register resubmitted with </w:t>
            </w:r>
            <w:proofErr w:type="spellStart"/>
            <w:r w:rsidR="00B33947" w:rsidRPr="00B33947">
              <w:rPr>
                <w:rFonts w:ascii="Montserrat" w:hAnsi="Montserrat"/>
                <w:i/>
                <w:iCs/>
                <w:color w:val="FF0000"/>
                <w:sz w:val="18"/>
                <w:szCs w:val="18"/>
              </w:rPr>
              <w:t>Mid Year</w:t>
            </w:r>
            <w:proofErr w:type="spellEnd"/>
            <w:r w:rsidR="00B33947" w:rsidRPr="00B33947">
              <w:rPr>
                <w:rFonts w:ascii="Montserrat" w:hAnsi="Montserrat"/>
                <w:i/>
                <w:iCs/>
                <w:color w:val="FF0000"/>
                <w:sz w:val="18"/>
                <w:szCs w:val="18"/>
              </w:rPr>
              <w:t xml:space="preserve"> Report</w:t>
            </w:r>
          </w:p>
        </w:tc>
      </w:tr>
      <w:tr w:rsidR="009C2A04" w14:paraId="5E70FDCF" w14:textId="77777777" w:rsidTr="16E656DD">
        <w:trPr>
          <w:jc w:val="center"/>
        </w:trPr>
        <w:tc>
          <w:tcPr>
            <w:tcW w:w="1838" w:type="dxa"/>
          </w:tcPr>
          <w:p w14:paraId="09402B21"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5954" w:type="dxa"/>
          </w:tcPr>
          <w:p w14:paraId="7DC354F2"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2551" w:type="dxa"/>
          </w:tcPr>
          <w:p w14:paraId="499EBE73"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2126" w:type="dxa"/>
          </w:tcPr>
          <w:p w14:paraId="69FD2967"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3121" w:type="dxa"/>
          </w:tcPr>
          <w:p w14:paraId="302A3647"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r>
      <w:tr w:rsidR="009C2A04" w14:paraId="3A8FA6F5" w14:textId="77777777" w:rsidTr="16E656DD">
        <w:trPr>
          <w:jc w:val="center"/>
        </w:trPr>
        <w:tc>
          <w:tcPr>
            <w:tcW w:w="1838" w:type="dxa"/>
          </w:tcPr>
          <w:p w14:paraId="3A6C7F38"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5954" w:type="dxa"/>
          </w:tcPr>
          <w:p w14:paraId="6F59532B"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2551" w:type="dxa"/>
          </w:tcPr>
          <w:p w14:paraId="50D891EE"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2126" w:type="dxa"/>
          </w:tcPr>
          <w:p w14:paraId="1F63344D"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3121" w:type="dxa"/>
          </w:tcPr>
          <w:p w14:paraId="3BDA2379"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r>
      <w:tr w:rsidR="009C2A04" w14:paraId="1A68D809" w14:textId="77777777" w:rsidTr="16E656DD">
        <w:trPr>
          <w:jc w:val="center"/>
        </w:trPr>
        <w:tc>
          <w:tcPr>
            <w:tcW w:w="15590" w:type="dxa"/>
            <w:gridSpan w:val="5"/>
            <w:shd w:val="clear" w:color="auto" w:fill="B7D6E1" w:themeFill="accent1"/>
          </w:tcPr>
          <w:p w14:paraId="53BF146D" w14:textId="77777777" w:rsidR="009C2A04" w:rsidRPr="00CF401A" w:rsidRDefault="009C2A04" w:rsidP="009C2A04">
            <w:pPr>
              <w:spacing w:before="240" w:after="240"/>
              <w:rPr>
                <w:rFonts w:ascii="Montserrat" w:hAnsi="Montserrat"/>
                <w:b/>
                <w:bCs/>
                <w:szCs w:val="22"/>
              </w:rPr>
            </w:pPr>
            <w:r w:rsidRPr="00CF401A">
              <w:rPr>
                <w:rFonts w:ascii="Montserrat" w:hAnsi="Montserrat"/>
                <w:b/>
                <w:bCs/>
                <w:szCs w:val="22"/>
              </w:rPr>
              <w:t>RESPONSE: Encourage reporting, accountability and a victim-survivor centred approach.</w:t>
            </w:r>
          </w:p>
          <w:p w14:paraId="647F7ED3" w14:textId="77777777" w:rsidR="009C2A04" w:rsidRPr="00CF401A" w:rsidRDefault="009C2A04" w:rsidP="009C2A04">
            <w:pPr>
              <w:numPr>
                <w:ilvl w:val="1"/>
                <w:numId w:val="45"/>
              </w:numPr>
              <w:spacing w:before="240" w:after="240"/>
              <w:rPr>
                <w:rFonts w:ascii="Montserrat" w:hAnsi="Montserrat"/>
                <w:sz w:val="18"/>
                <w:szCs w:val="18"/>
              </w:rPr>
            </w:pPr>
            <w:r w:rsidRPr="00CF401A">
              <w:rPr>
                <w:rFonts w:ascii="Montserrat" w:hAnsi="Montserrat"/>
                <w:b/>
                <w:bCs/>
                <w:szCs w:val="22"/>
              </w:rPr>
              <w:t>Establish, test, and encourage the use of safe and accessible mechanisms for receiving complaints and detecting concerns relating to personnel, operations and project/programmes.</w:t>
            </w:r>
            <w:r w:rsidRPr="00CF401A">
              <w:rPr>
                <w:rFonts w:ascii="Open Sans" w:hAnsi="Open Sans" w:cs="Open Sans"/>
                <w:b/>
                <w:bCs/>
                <w:color w:val="1D1D1B"/>
                <w:sz w:val="27"/>
                <w:szCs w:val="27"/>
              </w:rPr>
              <w:t> </w:t>
            </w:r>
            <w:r w:rsidRPr="00CF401A">
              <w:rPr>
                <w:rFonts w:ascii="Montserrat" w:hAnsi="Montserrat"/>
                <w:sz w:val="18"/>
                <w:szCs w:val="18"/>
              </w:rPr>
              <w:t>Participate in community-based complaint mechanisms. Use surveys to seek feedback and track reporting levels to test if mechanisms are trusted and used.  Having few reports does not necessarily mean few cases. Stay alert to SEAH risk and culture even in the absence of reports.</w:t>
            </w:r>
          </w:p>
          <w:p w14:paraId="0A314DB5" w14:textId="77777777" w:rsidR="009C2A04" w:rsidRPr="00CF401A" w:rsidRDefault="009C2A04" w:rsidP="009C2A04">
            <w:pPr>
              <w:numPr>
                <w:ilvl w:val="1"/>
                <w:numId w:val="45"/>
              </w:numPr>
              <w:spacing w:before="240" w:after="240"/>
              <w:rPr>
                <w:rFonts w:ascii="Montserrat" w:hAnsi="Montserrat"/>
                <w:sz w:val="18"/>
                <w:szCs w:val="18"/>
              </w:rPr>
            </w:pPr>
            <w:r w:rsidRPr="00CF401A">
              <w:rPr>
                <w:rFonts w:ascii="Montserrat" w:hAnsi="Montserrat"/>
                <w:b/>
                <w:bCs/>
                <w:szCs w:val="22"/>
              </w:rPr>
              <w:t>Help personnel to know what to do if they experience, witness or suspect SEAH. </w:t>
            </w:r>
            <w:r w:rsidRPr="00CF401A">
              <w:rPr>
                <w:rFonts w:ascii="Montserrat" w:hAnsi="Montserrat"/>
                <w:sz w:val="18"/>
                <w:szCs w:val="18"/>
              </w:rPr>
              <w:t>Develop and implement guidance and training so that personnel know how to identify SEAH, and what to do if they receive a report about, become aware of, experience or witness SEA or SH.</w:t>
            </w:r>
          </w:p>
          <w:p w14:paraId="207EBF32" w14:textId="77777777" w:rsidR="009C2A04" w:rsidRPr="00CF401A" w:rsidRDefault="009C2A04" w:rsidP="009C2A04">
            <w:pPr>
              <w:numPr>
                <w:ilvl w:val="1"/>
                <w:numId w:val="45"/>
              </w:numPr>
              <w:spacing w:before="240" w:after="240"/>
              <w:rPr>
                <w:rFonts w:ascii="Montserrat" w:hAnsi="Montserrat"/>
                <w:sz w:val="18"/>
                <w:szCs w:val="18"/>
              </w:rPr>
            </w:pPr>
            <w:r w:rsidRPr="00CF401A">
              <w:rPr>
                <w:rFonts w:ascii="Montserrat" w:hAnsi="Montserrat"/>
                <w:b/>
                <w:bCs/>
                <w:szCs w:val="22"/>
              </w:rPr>
              <w:lastRenderedPageBreak/>
              <w:t>Help victim-survivors who report to access support. </w:t>
            </w:r>
            <w:r w:rsidRPr="00CF401A">
              <w:rPr>
                <w:rFonts w:ascii="Montserrat" w:hAnsi="Montserrat"/>
                <w:sz w:val="18"/>
                <w:szCs w:val="18"/>
              </w:rPr>
              <w:t>Ensure that they have the support and means to access, safely and confidentially, quality response services including medical, psychosocial, and legal assistance. Victim-survivors have a right to this support whether they choose to participate in an investigation or not.</w:t>
            </w:r>
          </w:p>
          <w:p w14:paraId="39799B9C" w14:textId="2D0BD70C" w:rsidR="009C2A04" w:rsidRPr="00CF401A" w:rsidRDefault="009C2A04" w:rsidP="009C2A04">
            <w:pPr>
              <w:numPr>
                <w:ilvl w:val="1"/>
                <w:numId w:val="45"/>
              </w:numPr>
              <w:spacing w:before="240" w:after="240"/>
              <w:rPr>
                <w:rFonts w:ascii="Montserrat" w:hAnsi="Montserrat"/>
                <w:sz w:val="18"/>
                <w:szCs w:val="18"/>
              </w:rPr>
            </w:pPr>
            <w:r w:rsidRPr="00CF401A">
              <w:rPr>
                <w:rFonts w:ascii="Montserrat" w:hAnsi="Montserrat"/>
                <w:b/>
                <w:bCs/>
                <w:szCs w:val="22"/>
              </w:rPr>
              <w:t>Take a victim-survivor centred approach to reports and investigations.</w:t>
            </w:r>
            <w:r w:rsidRPr="00CF401A">
              <w:rPr>
                <w:rFonts w:ascii="Open Sans" w:hAnsi="Open Sans" w:cs="Open Sans"/>
                <w:color w:val="1D1D1B"/>
                <w:sz w:val="27"/>
                <w:szCs w:val="27"/>
              </w:rPr>
              <w:t xml:space="preserve">  </w:t>
            </w:r>
            <w:r w:rsidRPr="00CF401A">
              <w:rPr>
                <w:rFonts w:ascii="Montserrat" w:hAnsi="Montserrat"/>
                <w:sz w:val="18"/>
                <w:szCs w:val="18"/>
              </w:rPr>
              <w:t xml:space="preserve">Respond to and investigate cases in a timely, fair, confidential, safe and sensitive </w:t>
            </w:r>
            <w:r w:rsidR="006F5F0A" w:rsidRPr="00CF401A">
              <w:rPr>
                <w:rFonts w:ascii="Montserrat" w:hAnsi="Montserrat"/>
                <w:sz w:val="18"/>
                <w:szCs w:val="18"/>
              </w:rPr>
              <w:t>manner,</w:t>
            </w:r>
            <w:r w:rsidRPr="00CF401A">
              <w:rPr>
                <w:rFonts w:ascii="Montserrat" w:hAnsi="Montserrat"/>
                <w:sz w:val="18"/>
                <w:szCs w:val="18"/>
              </w:rPr>
              <w:t xml:space="preserve"> which is centred on the safety, agency, informed consent, dignity, needs and rights of victims-survivors.</w:t>
            </w:r>
          </w:p>
          <w:p w14:paraId="09537D3A" w14:textId="53E4C794" w:rsidR="009C2A04" w:rsidRPr="00CF401A" w:rsidRDefault="009C2A04" w:rsidP="009C2A04">
            <w:pPr>
              <w:numPr>
                <w:ilvl w:val="1"/>
                <w:numId w:val="45"/>
              </w:numPr>
              <w:spacing w:before="240" w:after="240"/>
              <w:rPr>
                <w:rFonts w:ascii="Montserrat" w:hAnsi="Montserrat"/>
                <w:sz w:val="18"/>
                <w:szCs w:val="18"/>
              </w:rPr>
            </w:pPr>
            <w:r w:rsidRPr="00CF401A">
              <w:rPr>
                <w:rFonts w:ascii="Montserrat" w:hAnsi="Montserrat"/>
                <w:b/>
                <w:bCs/>
                <w:szCs w:val="22"/>
              </w:rPr>
              <w:t>Hold individuals to account.</w:t>
            </w:r>
            <w:r w:rsidRPr="00CF401A">
              <w:rPr>
                <w:rFonts w:ascii="Open Sans" w:hAnsi="Open Sans" w:cs="Open Sans"/>
                <w:color w:val="1D1D1B"/>
                <w:sz w:val="27"/>
                <w:szCs w:val="27"/>
              </w:rPr>
              <w:t> </w:t>
            </w:r>
            <w:r w:rsidRPr="00CF401A">
              <w:rPr>
                <w:rFonts w:ascii="Montserrat" w:hAnsi="Montserrat"/>
                <w:sz w:val="18"/>
                <w:szCs w:val="18"/>
              </w:rPr>
              <w:t xml:space="preserve">Take timely and appropriate disciplinary action against people found guilty of SEAH or who retaliate against those who report concerns or participate in investigations. Use information-sharing tools e.g. the </w:t>
            </w:r>
            <w:hyperlink r:id="rId24" w:history="1">
              <w:r w:rsidRPr="006F5F0A">
                <w:rPr>
                  <w:rStyle w:val="Hyperlink"/>
                  <w:rFonts w:ascii="Montserrat" w:hAnsi="Montserrat"/>
                  <w:sz w:val="18"/>
                  <w:szCs w:val="18"/>
                </w:rPr>
                <w:t>Misconduct Disclosure Scheme</w:t>
              </w:r>
            </w:hyperlink>
            <w:r w:rsidRPr="00CF401A">
              <w:rPr>
                <w:rFonts w:ascii="Montserrat" w:hAnsi="Montserrat"/>
                <w:sz w:val="18"/>
                <w:szCs w:val="18"/>
              </w:rPr>
              <w:t xml:space="preserve"> to prevent perpetrators moving between organisations undetected.</w:t>
            </w:r>
          </w:p>
          <w:p w14:paraId="7336DA7D" w14:textId="3E6220BB" w:rsidR="009C2A04" w:rsidRPr="00CE3C0F" w:rsidRDefault="009C2A04" w:rsidP="009C2A04">
            <w:pPr>
              <w:numPr>
                <w:ilvl w:val="1"/>
                <w:numId w:val="45"/>
              </w:numPr>
              <w:spacing w:before="240" w:after="240"/>
              <w:rPr>
                <w:rFonts w:ascii="Montserrat" w:hAnsi="Montserrat"/>
                <w:b/>
                <w:bCs/>
                <w:szCs w:val="22"/>
              </w:rPr>
            </w:pPr>
            <w:r w:rsidRPr="00CF401A">
              <w:rPr>
                <w:rFonts w:ascii="Montserrat" w:hAnsi="Montserrat"/>
                <w:b/>
                <w:bCs/>
                <w:szCs w:val="22"/>
              </w:rPr>
              <w:t>Consider legal accountability.</w:t>
            </w:r>
            <w:r w:rsidRPr="00CF401A">
              <w:rPr>
                <w:rFonts w:ascii="Open Sans" w:hAnsi="Open Sans" w:cs="Open Sans"/>
                <w:color w:val="1D1D1B"/>
                <w:sz w:val="27"/>
                <w:szCs w:val="27"/>
              </w:rPr>
              <w:t xml:space="preserve"> </w:t>
            </w:r>
            <w:r w:rsidRPr="00CF401A">
              <w:rPr>
                <w:rFonts w:ascii="Montserrat" w:hAnsi="Montserrat"/>
                <w:sz w:val="18"/>
                <w:szCs w:val="18"/>
              </w:rPr>
              <w:t>When cases may meet the definition of a criminal or civil offence, if the victim-survivor gives consent (or the parent/carer/guardian/ trusted person in the case of a child, and factoring in any mandatory legal reporting requirements) and it is safe to do so, refer to the appropriate jurisdiction or law enforcement agency.</w:t>
            </w:r>
          </w:p>
        </w:tc>
      </w:tr>
      <w:tr w:rsidR="009C2A04" w14:paraId="60C0E300" w14:textId="77777777" w:rsidTr="16E656DD">
        <w:trPr>
          <w:jc w:val="center"/>
        </w:trPr>
        <w:tc>
          <w:tcPr>
            <w:tcW w:w="1838" w:type="dxa"/>
          </w:tcPr>
          <w:p w14:paraId="43349707" w14:textId="7BC22A2F" w:rsidR="009C2A04" w:rsidRPr="001411FA"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lastRenderedPageBreak/>
              <w:t>Organisation</w:t>
            </w:r>
          </w:p>
        </w:tc>
        <w:tc>
          <w:tcPr>
            <w:tcW w:w="5954" w:type="dxa"/>
          </w:tcPr>
          <w:p w14:paraId="5392C581" w14:textId="38A73B56" w:rsidR="009C2A04" w:rsidRPr="001411FA" w:rsidRDefault="00397391"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Safeguarding Lead and 2 HR staff trained to be SEAH Investigators with CHS Alliance</w:t>
            </w:r>
          </w:p>
        </w:tc>
        <w:tc>
          <w:tcPr>
            <w:tcW w:w="2551" w:type="dxa"/>
          </w:tcPr>
          <w:p w14:paraId="40AFB729" w14:textId="3DE505CA" w:rsidR="009C2A04" w:rsidRPr="001411FA" w:rsidRDefault="00397391" w:rsidP="009C2A04">
            <w:pPr>
              <w:pStyle w:val="ListBullet"/>
              <w:numPr>
                <w:ilvl w:val="0"/>
                <w:numId w:val="0"/>
              </w:numPr>
              <w:spacing w:before="120" w:after="120" w:line="286" w:lineRule="auto"/>
              <w:contextualSpacing w:val="0"/>
              <w:rPr>
                <w:rFonts w:ascii="Montserrat" w:hAnsi="Montserrat"/>
                <w:i/>
                <w:iCs/>
                <w:color w:val="FF0000"/>
                <w:sz w:val="18"/>
                <w:szCs w:val="18"/>
              </w:rPr>
            </w:pPr>
            <w:r w:rsidRPr="00EA5005">
              <w:rPr>
                <w:rFonts w:ascii="Montserrat" w:hAnsi="Montserrat"/>
                <w:i/>
                <w:iCs/>
                <w:color w:val="FF0000"/>
                <w:sz w:val="18"/>
                <w:szCs w:val="18"/>
              </w:rPr>
              <w:t xml:space="preserve">Lead Organisation </w:t>
            </w:r>
            <w:r>
              <w:rPr>
                <w:rFonts w:ascii="Montserrat" w:hAnsi="Montserrat"/>
                <w:i/>
                <w:iCs/>
                <w:color w:val="FF0000"/>
                <w:sz w:val="18"/>
                <w:szCs w:val="18"/>
              </w:rPr>
              <w:t>Safeguarding and HR depts</w:t>
            </w:r>
          </w:p>
        </w:tc>
        <w:tc>
          <w:tcPr>
            <w:tcW w:w="2126" w:type="dxa"/>
          </w:tcPr>
          <w:p w14:paraId="30127CCF" w14:textId="674BF309" w:rsidR="009C2A04" w:rsidRPr="001411FA" w:rsidRDefault="00397391"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November 2025</w:t>
            </w:r>
          </w:p>
        </w:tc>
        <w:tc>
          <w:tcPr>
            <w:tcW w:w="3121" w:type="dxa"/>
          </w:tcPr>
          <w:p w14:paraId="504ACDAA" w14:textId="7E301FA7" w:rsidR="009C2A04" w:rsidRPr="001411FA" w:rsidRDefault="00397391"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Any SEAH investigation on the project will have 2 qualified SEAH investigators and follow CHS Alliance guidance</w:t>
            </w:r>
            <w:r w:rsidRPr="00EA5005">
              <w:rPr>
                <w:rFonts w:ascii="Montserrat" w:hAnsi="Montserrat"/>
                <w:i/>
                <w:iCs/>
                <w:color w:val="FF0000"/>
                <w:sz w:val="18"/>
                <w:szCs w:val="18"/>
              </w:rPr>
              <w:t>.</w:t>
            </w:r>
          </w:p>
        </w:tc>
      </w:tr>
      <w:tr w:rsidR="009C2A04" w14:paraId="3D9CD860" w14:textId="77777777" w:rsidTr="16E656DD">
        <w:trPr>
          <w:jc w:val="center"/>
        </w:trPr>
        <w:tc>
          <w:tcPr>
            <w:tcW w:w="1838" w:type="dxa"/>
          </w:tcPr>
          <w:p w14:paraId="62D15495" w14:textId="5AC7ACD2" w:rsidR="009C2A04" w:rsidRPr="0058469B"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Project</w:t>
            </w:r>
          </w:p>
        </w:tc>
        <w:tc>
          <w:tcPr>
            <w:tcW w:w="5954" w:type="dxa"/>
          </w:tcPr>
          <w:p w14:paraId="0D77DC60" w14:textId="77777777" w:rsidR="008172C7" w:rsidRPr="008172C7" w:rsidRDefault="008172C7" w:rsidP="008172C7">
            <w:pPr>
              <w:pStyle w:val="ListBullet"/>
              <w:numPr>
                <w:ilvl w:val="0"/>
                <w:numId w:val="0"/>
              </w:numPr>
              <w:spacing w:before="120" w:after="120" w:line="286" w:lineRule="auto"/>
              <w:ind w:left="360" w:hanging="360"/>
              <w:rPr>
                <w:rFonts w:ascii="Montserrat" w:hAnsi="Montserrat"/>
                <w:i/>
                <w:iCs/>
                <w:color w:val="FF0000"/>
                <w:sz w:val="18"/>
                <w:szCs w:val="18"/>
              </w:rPr>
            </w:pPr>
            <w:r w:rsidRPr="008172C7">
              <w:rPr>
                <w:rFonts w:ascii="Montserrat" w:hAnsi="Montserrat"/>
                <w:i/>
                <w:iCs/>
                <w:color w:val="FF0000"/>
                <w:sz w:val="18"/>
                <w:szCs w:val="18"/>
              </w:rPr>
              <w:t>Ensure there is information available on how to provide quality support services to victim-survivors if staff involved in your activities do commit SEAH, including handling and investigation of the cases. This could include mapping services which could support victim-survivors and managing the risks to victim-survivors of any gaps in the provision of such services.</w:t>
            </w:r>
          </w:p>
          <w:p w14:paraId="13A6D350" w14:textId="73C2A66F" w:rsidR="009C2A04" w:rsidRPr="0058469B"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rPr>
            </w:pPr>
          </w:p>
        </w:tc>
        <w:tc>
          <w:tcPr>
            <w:tcW w:w="2551" w:type="dxa"/>
          </w:tcPr>
          <w:p w14:paraId="02056F38" w14:textId="6A36F18E" w:rsidR="009C2A04" w:rsidRPr="0058469B" w:rsidRDefault="008172C7"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Safeguarding Focal Point</w:t>
            </w:r>
          </w:p>
        </w:tc>
        <w:tc>
          <w:tcPr>
            <w:tcW w:w="2126" w:type="dxa"/>
          </w:tcPr>
          <w:p w14:paraId="258871F1" w14:textId="116C8706" w:rsidR="009C2A04" w:rsidRPr="0058469B" w:rsidRDefault="00B70E08"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March 2026</w:t>
            </w:r>
          </w:p>
        </w:tc>
        <w:tc>
          <w:tcPr>
            <w:tcW w:w="3121" w:type="dxa"/>
          </w:tcPr>
          <w:p w14:paraId="7E87DFAC" w14:textId="24353358" w:rsidR="009C2A04" w:rsidRPr="0058469B" w:rsidRDefault="00B70E08"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 xml:space="preserve">Referral Pathway </w:t>
            </w:r>
            <w:r w:rsidR="0096025A">
              <w:rPr>
                <w:rFonts w:ascii="Montserrat" w:hAnsi="Montserrat"/>
                <w:i/>
                <w:iCs/>
                <w:color w:val="FF0000"/>
                <w:sz w:val="18"/>
                <w:szCs w:val="18"/>
              </w:rPr>
              <w:t>created by SFP and shared with team and partners; referral pathway will be updated annually</w:t>
            </w:r>
            <w:r w:rsidR="000C369B">
              <w:rPr>
                <w:rFonts w:ascii="Montserrat" w:hAnsi="Montserrat"/>
                <w:i/>
                <w:iCs/>
                <w:color w:val="FF0000"/>
                <w:sz w:val="18"/>
                <w:szCs w:val="18"/>
              </w:rPr>
              <w:t xml:space="preserve"> and shared with Annual Report</w:t>
            </w:r>
          </w:p>
        </w:tc>
      </w:tr>
      <w:tr w:rsidR="009C2A04" w14:paraId="5B52CB7E" w14:textId="77777777" w:rsidTr="16E656DD">
        <w:trPr>
          <w:jc w:val="center"/>
        </w:trPr>
        <w:tc>
          <w:tcPr>
            <w:tcW w:w="1838" w:type="dxa"/>
          </w:tcPr>
          <w:p w14:paraId="64399D97" w14:textId="77777777" w:rsidR="009C2A04" w:rsidRPr="0058469B"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rPr>
            </w:pPr>
          </w:p>
        </w:tc>
        <w:tc>
          <w:tcPr>
            <w:tcW w:w="5954" w:type="dxa"/>
          </w:tcPr>
          <w:p w14:paraId="115F984E" w14:textId="77777777" w:rsidR="009C2A04" w:rsidRPr="0058469B"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rPr>
            </w:pPr>
          </w:p>
        </w:tc>
        <w:tc>
          <w:tcPr>
            <w:tcW w:w="2551" w:type="dxa"/>
          </w:tcPr>
          <w:p w14:paraId="1B6291C6" w14:textId="77777777" w:rsidR="009C2A04" w:rsidRPr="0058469B"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rPr>
            </w:pPr>
          </w:p>
        </w:tc>
        <w:tc>
          <w:tcPr>
            <w:tcW w:w="2126" w:type="dxa"/>
          </w:tcPr>
          <w:p w14:paraId="2F7F1D91" w14:textId="77777777" w:rsidR="009C2A04" w:rsidRPr="0058469B"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rPr>
            </w:pPr>
          </w:p>
        </w:tc>
        <w:tc>
          <w:tcPr>
            <w:tcW w:w="3121" w:type="dxa"/>
          </w:tcPr>
          <w:p w14:paraId="3A9E05D7" w14:textId="77777777" w:rsidR="009C2A04" w:rsidRPr="0058469B"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rPr>
            </w:pPr>
          </w:p>
        </w:tc>
      </w:tr>
      <w:tr w:rsidR="009C2A04" w14:paraId="62A8838D" w14:textId="77777777" w:rsidTr="16E656DD">
        <w:trPr>
          <w:jc w:val="center"/>
        </w:trPr>
        <w:tc>
          <w:tcPr>
            <w:tcW w:w="1838" w:type="dxa"/>
          </w:tcPr>
          <w:p w14:paraId="5240FBD0"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5954" w:type="dxa"/>
          </w:tcPr>
          <w:p w14:paraId="2209311B"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2551" w:type="dxa"/>
          </w:tcPr>
          <w:p w14:paraId="55ADAAC7"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2126" w:type="dxa"/>
          </w:tcPr>
          <w:p w14:paraId="027D898F"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3121" w:type="dxa"/>
          </w:tcPr>
          <w:p w14:paraId="2512F0B1"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r>
      <w:tr w:rsidR="009C2A04" w14:paraId="631E7E16" w14:textId="77777777" w:rsidTr="16E656DD">
        <w:trPr>
          <w:jc w:val="center"/>
        </w:trPr>
        <w:tc>
          <w:tcPr>
            <w:tcW w:w="15590" w:type="dxa"/>
            <w:gridSpan w:val="5"/>
            <w:shd w:val="clear" w:color="auto" w:fill="B7D6E1" w:themeFill="accent1"/>
          </w:tcPr>
          <w:p w14:paraId="1D251E8E" w14:textId="77777777" w:rsidR="009C2A04" w:rsidRPr="00151A45" w:rsidRDefault="009C2A04" w:rsidP="009C2A04">
            <w:pPr>
              <w:spacing w:before="240" w:after="240"/>
              <w:rPr>
                <w:rFonts w:ascii="Montserrat" w:hAnsi="Montserrat"/>
                <w:b/>
                <w:bCs/>
                <w:szCs w:val="22"/>
              </w:rPr>
            </w:pPr>
            <w:r w:rsidRPr="00151A45">
              <w:rPr>
                <w:rFonts w:ascii="Montserrat" w:hAnsi="Montserrat"/>
                <w:b/>
                <w:bCs/>
                <w:szCs w:val="22"/>
              </w:rPr>
              <w:t>MONITORING: check if efforts to protect against SEAH are working</w:t>
            </w:r>
          </w:p>
          <w:p w14:paraId="3411FC09" w14:textId="77777777" w:rsidR="009C2A04" w:rsidRPr="00151A45" w:rsidRDefault="009C2A04" w:rsidP="009C2A04">
            <w:pPr>
              <w:numPr>
                <w:ilvl w:val="1"/>
                <w:numId w:val="47"/>
              </w:numPr>
              <w:spacing w:before="240" w:after="240"/>
              <w:rPr>
                <w:rFonts w:ascii="Montserrat" w:hAnsi="Montserrat"/>
                <w:sz w:val="18"/>
                <w:szCs w:val="18"/>
              </w:rPr>
            </w:pPr>
            <w:r w:rsidRPr="00151A45">
              <w:rPr>
                <w:rFonts w:ascii="Montserrat" w:hAnsi="Montserrat"/>
                <w:b/>
                <w:bCs/>
                <w:szCs w:val="22"/>
              </w:rPr>
              <w:lastRenderedPageBreak/>
              <w:t>Learn and improve from experience, including where things have gone wrong.</w:t>
            </w:r>
            <w:r w:rsidRPr="00151A45">
              <w:rPr>
                <w:rFonts w:ascii="Open Sans" w:hAnsi="Open Sans" w:cs="Open Sans"/>
                <w:color w:val="1D1D1B"/>
                <w:sz w:val="27"/>
                <w:szCs w:val="27"/>
              </w:rPr>
              <w:t xml:space="preserve"> </w:t>
            </w:r>
            <w:r w:rsidRPr="00151A45">
              <w:rPr>
                <w:rFonts w:ascii="Montserrat" w:hAnsi="Montserrat"/>
                <w:sz w:val="18"/>
                <w:szCs w:val="18"/>
              </w:rPr>
              <w:t>When cases occur, consider if prevention measures could be strengthened and follow up with victim-survivors to check if support can be improved.</w:t>
            </w:r>
          </w:p>
          <w:p w14:paraId="30FEC5EE" w14:textId="77777777" w:rsidR="009C2A04" w:rsidRPr="00151A45" w:rsidRDefault="009C2A04" w:rsidP="009C2A04">
            <w:pPr>
              <w:numPr>
                <w:ilvl w:val="1"/>
                <w:numId w:val="47"/>
              </w:numPr>
              <w:spacing w:before="240" w:after="240"/>
              <w:rPr>
                <w:rFonts w:ascii="Montserrat" w:hAnsi="Montserrat"/>
                <w:sz w:val="18"/>
                <w:szCs w:val="18"/>
              </w:rPr>
            </w:pPr>
            <w:r w:rsidRPr="00151A45">
              <w:rPr>
                <w:rFonts w:ascii="Montserrat" w:hAnsi="Montserrat"/>
                <w:b/>
                <w:bCs/>
                <w:szCs w:val="22"/>
              </w:rPr>
              <w:t>Monitor and evaluate the implementation and impact of PSEAH policies and approaches.</w:t>
            </w:r>
            <w:r w:rsidRPr="00151A45">
              <w:rPr>
                <w:rFonts w:ascii="Open Sans" w:hAnsi="Open Sans" w:cs="Open Sans"/>
                <w:color w:val="1D1D1B"/>
                <w:sz w:val="27"/>
                <w:szCs w:val="27"/>
              </w:rPr>
              <w:t xml:space="preserve"> </w:t>
            </w:r>
            <w:r w:rsidRPr="00151A45">
              <w:rPr>
                <w:rFonts w:ascii="Montserrat" w:hAnsi="Montserrat"/>
                <w:sz w:val="18"/>
                <w:szCs w:val="18"/>
              </w:rPr>
              <w:t>Use feedback tools and surveys to check how well staff, implementing partners, and communities understand how to prevent and respond to SEAH and if perceptions/levels of risk are improving; use aggregate non-identifiable data to track case numbers to evaluate if reporting mechanisms are working; look for trends to see if there is a need to increase prevention for particular geographies or groups (e.g. children or people with disabilities).</w:t>
            </w:r>
          </w:p>
          <w:p w14:paraId="09823456" w14:textId="51554506" w:rsidR="009C2A04" w:rsidRPr="00965B16" w:rsidRDefault="009C2A04" w:rsidP="009C2A04">
            <w:pPr>
              <w:numPr>
                <w:ilvl w:val="1"/>
                <w:numId w:val="47"/>
              </w:numPr>
              <w:spacing w:before="240" w:after="240"/>
              <w:rPr>
                <w:rFonts w:ascii="Montserrat" w:hAnsi="Montserrat"/>
                <w:b/>
                <w:bCs/>
                <w:szCs w:val="22"/>
              </w:rPr>
            </w:pPr>
            <w:r w:rsidRPr="00151A45">
              <w:rPr>
                <w:rFonts w:ascii="Montserrat" w:hAnsi="Montserrat"/>
                <w:b/>
                <w:bCs/>
                <w:szCs w:val="22"/>
              </w:rPr>
              <w:t>Participate in joint efforts to strengthen and align PSEAH approaches.</w:t>
            </w:r>
            <w:r w:rsidRPr="00151A45">
              <w:rPr>
                <w:rFonts w:ascii="Open Sans" w:hAnsi="Open Sans" w:cs="Open Sans"/>
                <w:b/>
                <w:bCs/>
                <w:color w:val="1D1D1B"/>
                <w:sz w:val="27"/>
                <w:szCs w:val="27"/>
              </w:rPr>
              <w:t> </w:t>
            </w:r>
            <w:r w:rsidRPr="00151A45">
              <w:rPr>
                <w:rFonts w:ascii="Montserrat" w:hAnsi="Montserrat"/>
                <w:sz w:val="18"/>
                <w:szCs w:val="18"/>
              </w:rPr>
              <w:t>Publish and share data, information and learning on SEAH in a way that protects confidentiality, to help build the evidence base on PSEAH, knowledge of what works, and track global progress on PSEAH.</w:t>
            </w:r>
          </w:p>
        </w:tc>
      </w:tr>
      <w:tr w:rsidR="009C2A04" w14:paraId="21C04B3E" w14:textId="77777777" w:rsidTr="16E656DD">
        <w:trPr>
          <w:jc w:val="center"/>
        </w:trPr>
        <w:tc>
          <w:tcPr>
            <w:tcW w:w="1838" w:type="dxa"/>
          </w:tcPr>
          <w:p w14:paraId="23D810B3" w14:textId="436E2606" w:rsidR="009C2A04" w:rsidRPr="003710A2"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lastRenderedPageBreak/>
              <w:t>Organisation.</w:t>
            </w:r>
          </w:p>
        </w:tc>
        <w:tc>
          <w:tcPr>
            <w:tcW w:w="5954" w:type="dxa"/>
          </w:tcPr>
          <w:p w14:paraId="33055C6C" w14:textId="78FB1E50" w:rsidR="009C2A04" w:rsidRPr="003710A2"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rPr>
            </w:pPr>
            <w:r w:rsidRPr="003710A2">
              <w:rPr>
                <w:rFonts w:ascii="Montserrat" w:hAnsi="Montserrat"/>
                <w:i/>
                <w:iCs/>
                <w:color w:val="FF0000"/>
                <w:sz w:val="18"/>
                <w:szCs w:val="18"/>
              </w:rPr>
              <w:t xml:space="preserve">The Lead Organisation to </w:t>
            </w:r>
            <w:r>
              <w:rPr>
                <w:rFonts w:ascii="Montserrat" w:hAnsi="Montserrat"/>
                <w:i/>
                <w:iCs/>
                <w:color w:val="FF0000"/>
                <w:sz w:val="18"/>
                <w:szCs w:val="18"/>
              </w:rPr>
              <w:t>conduct regular due diligence on all partner organisations identified in the project.</w:t>
            </w:r>
          </w:p>
        </w:tc>
        <w:tc>
          <w:tcPr>
            <w:tcW w:w="2551" w:type="dxa"/>
          </w:tcPr>
          <w:p w14:paraId="6FB77A51" w14:textId="038362DD" w:rsidR="009C2A04" w:rsidRPr="003710A2"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rPr>
            </w:pPr>
            <w:r w:rsidRPr="003710A2">
              <w:rPr>
                <w:rFonts w:ascii="Montserrat" w:hAnsi="Montserrat"/>
                <w:i/>
                <w:iCs/>
                <w:color w:val="FF0000"/>
                <w:sz w:val="18"/>
                <w:szCs w:val="18"/>
              </w:rPr>
              <w:t>Lead Organisation</w:t>
            </w:r>
          </w:p>
        </w:tc>
        <w:tc>
          <w:tcPr>
            <w:tcW w:w="2126" w:type="dxa"/>
          </w:tcPr>
          <w:p w14:paraId="6CDC6285" w14:textId="2F3BD22A" w:rsidR="009C2A04" w:rsidRPr="003710A2"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rPr>
            </w:pPr>
            <w:r w:rsidRPr="003710A2">
              <w:rPr>
                <w:rFonts w:ascii="Montserrat" w:hAnsi="Montserrat"/>
                <w:i/>
                <w:iCs/>
                <w:color w:val="FF0000"/>
                <w:sz w:val="18"/>
                <w:szCs w:val="18"/>
              </w:rPr>
              <w:t>Reviewed annually in March</w:t>
            </w:r>
          </w:p>
        </w:tc>
        <w:tc>
          <w:tcPr>
            <w:tcW w:w="3121" w:type="dxa"/>
          </w:tcPr>
          <w:p w14:paraId="5DBC7423" w14:textId="72DB769F" w:rsidR="009C2A04" w:rsidRPr="003710A2"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rPr>
            </w:pPr>
            <w:r w:rsidRPr="003710A2">
              <w:rPr>
                <w:rFonts w:ascii="Montserrat" w:hAnsi="Montserrat"/>
                <w:i/>
                <w:iCs/>
                <w:color w:val="FF0000"/>
                <w:sz w:val="18"/>
                <w:szCs w:val="18"/>
              </w:rPr>
              <w:t>n/a</w:t>
            </w:r>
          </w:p>
        </w:tc>
      </w:tr>
      <w:tr w:rsidR="009C2A04" w14:paraId="02757064" w14:textId="77777777" w:rsidTr="16E656DD">
        <w:trPr>
          <w:jc w:val="center"/>
        </w:trPr>
        <w:tc>
          <w:tcPr>
            <w:tcW w:w="1838" w:type="dxa"/>
          </w:tcPr>
          <w:p w14:paraId="69134BE8" w14:textId="4AAB1A36" w:rsidR="009C2A04" w:rsidRPr="003710A2"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Project</w:t>
            </w:r>
          </w:p>
        </w:tc>
        <w:tc>
          <w:tcPr>
            <w:tcW w:w="5954" w:type="dxa"/>
          </w:tcPr>
          <w:p w14:paraId="4EAA7458" w14:textId="33E07CF9" w:rsidR="00E51033" w:rsidRPr="00E51033" w:rsidRDefault="00E9465F" w:rsidP="00E51033">
            <w:pPr>
              <w:pStyle w:val="ListBullet"/>
              <w:numPr>
                <w:ilvl w:val="0"/>
                <w:numId w:val="0"/>
              </w:numPr>
              <w:spacing w:before="120" w:after="120" w:line="286" w:lineRule="auto"/>
              <w:ind w:left="360" w:hanging="360"/>
              <w:rPr>
                <w:rFonts w:ascii="Montserrat" w:hAnsi="Montserrat"/>
                <w:i/>
                <w:iCs/>
                <w:color w:val="FF0000"/>
                <w:sz w:val="18"/>
                <w:szCs w:val="18"/>
              </w:rPr>
            </w:pPr>
            <w:r>
              <w:rPr>
                <w:rFonts w:ascii="Montserrat" w:hAnsi="Montserrat"/>
                <w:i/>
                <w:iCs/>
                <w:color w:val="FF0000"/>
                <w:sz w:val="18"/>
                <w:szCs w:val="18"/>
              </w:rPr>
              <w:t>Feedback from project participants on understanding the CFRM was gathered</w:t>
            </w:r>
          </w:p>
          <w:p w14:paraId="245400F0" w14:textId="3CCE3A97" w:rsidR="009C2A04" w:rsidRPr="003710A2"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rPr>
            </w:pPr>
          </w:p>
        </w:tc>
        <w:tc>
          <w:tcPr>
            <w:tcW w:w="2551" w:type="dxa"/>
          </w:tcPr>
          <w:p w14:paraId="45B4C21E" w14:textId="4D6FAEAD" w:rsidR="009C2A04" w:rsidRPr="003710A2" w:rsidRDefault="00D840EB"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PL, SFP</w:t>
            </w:r>
          </w:p>
        </w:tc>
        <w:tc>
          <w:tcPr>
            <w:tcW w:w="2126" w:type="dxa"/>
          </w:tcPr>
          <w:p w14:paraId="4287C4F3" w14:textId="7071DF9E" w:rsidR="009C2A04" w:rsidRPr="003710A2" w:rsidRDefault="009C2A04" w:rsidP="009C2A04">
            <w:pPr>
              <w:pStyle w:val="ListBullet"/>
              <w:numPr>
                <w:ilvl w:val="0"/>
                <w:numId w:val="0"/>
              </w:numPr>
              <w:spacing w:before="120" w:after="120" w:line="286" w:lineRule="auto"/>
              <w:contextualSpacing w:val="0"/>
              <w:rPr>
                <w:rFonts w:ascii="Montserrat" w:hAnsi="Montserrat"/>
                <w:i/>
                <w:iCs/>
                <w:color w:val="FF0000"/>
                <w:sz w:val="18"/>
                <w:szCs w:val="18"/>
              </w:rPr>
            </w:pPr>
            <w:r w:rsidRPr="003710A2">
              <w:rPr>
                <w:rFonts w:ascii="Montserrat" w:hAnsi="Montserrat"/>
                <w:i/>
                <w:iCs/>
                <w:color w:val="FF0000"/>
                <w:sz w:val="18"/>
                <w:szCs w:val="18"/>
              </w:rPr>
              <w:t>J</w:t>
            </w:r>
            <w:r w:rsidR="00D840EB">
              <w:rPr>
                <w:rFonts w:ascii="Montserrat" w:hAnsi="Montserrat"/>
                <w:i/>
                <w:iCs/>
                <w:color w:val="FF0000"/>
                <w:sz w:val="18"/>
                <w:szCs w:val="18"/>
              </w:rPr>
              <w:t>une 2026</w:t>
            </w:r>
          </w:p>
        </w:tc>
        <w:tc>
          <w:tcPr>
            <w:tcW w:w="3121" w:type="dxa"/>
          </w:tcPr>
          <w:p w14:paraId="6D9B8620" w14:textId="0CB3292C" w:rsidR="009C2A04" w:rsidRPr="003710A2" w:rsidRDefault="00D840EB" w:rsidP="009C2A04">
            <w:pPr>
              <w:pStyle w:val="ListBullet"/>
              <w:numPr>
                <w:ilvl w:val="0"/>
                <w:numId w:val="0"/>
              </w:numPr>
              <w:spacing w:before="120" w:after="120" w:line="286" w:lineRule="auto"/>
              <w:contextualSpacing w:val="0"/>
              <w:rPr>
                <w:rFonts w:ascii="Montserrat" w:hAnsi="Montserrat"/>
                <w:i/>
                <w:iCs/>
                <w:color w:val="FF0000"/>
                <w:sz w:val="18"/>
                <w:szCs w:val="18"/>
              </w:rPr>
            </w:pPr>
            <w:r>
              <w:rPr>
                <w:rFonts w:ascii="Montserrat" w:hAnsi="Montserrat"/>
                <w:i/>
                <w:iCs/>
                <w:color w:val="FF0000"/>
                <w:sz w:val="18"/>
                <w:szCs w:val="18"/>
              </w:rPr>
              <w:t>Feedback shows that project participants have low confidence in repo</w:t>
            </w:r>
            <w:r w:rsidR="0059533C">
              <w:rPr>
                <w:rFonts w:ascii="Montserrat" w:hAnsi="Montserrat"/>
                <w:i/>
                <w:iCs/>
                <w:color w:val="FF0000"/>
                <w:sz w:val="18"/>
                <w:szCs w:val="18"/>
              </w:rPr>
              <w:t>rting concerns, report and suggested improvements shared with OCEAN for feedback</w:t>
            </w:r>
          </w:p>
        </w:tc>
      </w:tr>
      <w:tr w:rsidR="009C2A04" w14:paraId="224EA5C4" w14:textId="77777777" w:rsidTr="16E656DD">
        <w:trPr>
          <w:jc w:val="center"/>
        </w:trPr>
        <w:tc>
          <w:tcPr>
            <w:tcW w:w="1838" w:type="dxa"/>
          </w:tcPr>
          <w:p w14:paraId="3404E237"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5954" w:type="dxa"/>
          </w:tcPr>
          <w:p w14:paraId="3A673052"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2551" w:type="dxa"/>
          </w:tcPr>
          <w:p w14:paraId="23B5998D"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2126" w:type="dxa"/>
          </w:tcPr>
          <w:p w14:paraId="08D06EF2"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3121" w:type="dxa"/>
          </w:tcPr>
          <w:p w14:paraId="3F3D00A6"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r>
      <w:tr w:rsidR="009C2A04" w14:paraId="3AF8D421" w14:textId="77777777" w:rsidTr="16E656DD">
        <w:trPr>
          <w:jc w:val="center"/>
        </w:trPr>
        <w:tc>
          <w:tcPr>
            <w:tcW w:w="1838" w:type="dxa"/>
          </w:tcPr>
          <w:p w14:paraId="20F14B93"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5954" w:type="dxa"/>
          </w:tcPr>
          <w:p w14:paraId="63ED1C58"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2551" w:type="dxa"/>
          </w:tcPr>
          <w:p w14:paraId="1A6542EC"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2126" w:type="dxa"/>
          </w:tcPr>
          <w:p w14:paraId="39C5213D"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3121" w:type="dxa"/>
          </w:tcPr>
          <w:p w14:paraId="5A990244"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r>
      <w:tr w:rsidR="009C2A04" w14:paraId="0BCB6096" w14:textId="77777777" w:rsidTr="16E656DD">
        <w:trPr>
          <w:jc w:val="center"/>
        </w:trPr>
        <w:tc>
          <w:tcPr>
            <w:tcW w:w="1838" w:type="dxa"/>
          </w:tcPr>
          <w:p w14:paraId="722E9A26"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5954" w:type="dxa"/>
          </w:tcPr>
          <w:p w14:paraId="00DC8930"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2551" w:type="dxa"/>
          </w:tcPr>
          <w:p w14:paraId="2787A0C6"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2126" w:type="dxa"/>
          </w:tcPr>
          <w:p w14:paraId="192F9776"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c>
          <w:tcPr>
            <w:tcW w:w="3121" w:type="dxa"/>
          </w:tcPr>
          <w:p w14:paraId="51D24C71" w14:textId="77777777" w:rsidR="009C2A04" w:rsidRPr="00BC02AF" w:rsidRDefault="009C2A04" w:rsidP="009C2A04">
            <w:pPr>
              <w:pStyle w:val="ListBullet"/>
              <w:numPr>
                <w:ilvl w:val="0"/>
                <w:numId w:val="0"/>
              </w:numPr>
              <w:spacing w:before="120" w:after="120" w:line="286" w:lineRule="auto"/>
              <w:contextualSpacing w:val="0"/>
              <w:rPr>
                <w:rFonts w:ascii="Montserrat" w:hAnsi="Montserrat"/>
                <w:sz w:val="18"/>
                <w:szCs w:val="18"/>
              </w:rPr>
            </w:pPr>
          </w:p>
        </w:tc>
      </w:tr>
    </w:tbl>
    <w:p w14:paraId="3E3A124A" w14:textId="77777777" w:rsidR="00CE3C0F" w:rsidRDefault="00CE3C0F" w:rsidP="00CE3C0F">
      <w:pPr>
        <w:pStyle w:val="ListBullet"/>
        <w:numPr>
          <w:ilvl w:val="0"/>
          <w:numId w:val="0"/>
        </w:numPr>
        <w:spacing w:before="120" w:after="120" w:line="286" w:lineRule="auto"/>
        <w:contextualSpacing w:val="0"/>
        <w:jc w:val="both"/>
        <w:rPr>
          <w:rFonts w:ascii="Montserrat" w:hAnsi="Montserrat"/>
          <w:szCs w:val="22"/>
        </w:rPr>
      </w:pPr>
    </w:p>
    <w:p w14:paraId="374CDF3E" w14:textId="2B9E8466" w:rsidR="009D3DA0" w:rsidRPr="00B1307F" w:rsidRDefault="009D3DA0" w:rsidP="00CE3C0F">
      <w:pPr>
        <w:pStyle w:val="ListBullet"/>
        <w:numPr>
          <w:ilvl w:val="0"/>
          <w:numId w:val="0"/>
        </w:numPr>
        <w:spacing w:before="120" w:after="120" w:line="286" w:lineRule="auto"/>
        <w:contextualSpacing w:val="0"/>
        <w:jc w:val="both"/>
        <w:rPr>
          <w:rFonts w:ascii="Montserrat" w:hAnsi="Montserrat"/>
          <w:szCs w:val="22"/>
        </w:rPr>
      </w:pPr>
      <w:r w:rsidRPr="00B1307F">
        <w:rPr>
          <w:rFonts w:ascii="Montserrat" w:hAnsi="Montserrat"/>
          <w:szCs w:val="22"/>
        </w:rPr>
        <w:t xml:space="preserve">Please return this document to </w:t>
      </w:r>
      <w:hyperlink r:id="rId25" w:history="1">
        <w:r w:rsidRPr="00B1307F">
          <w:rPr>
            <w:rStyle w:val="Hyperlink"/>
            <w:rFonts w:ascii="Montserrat" w:hAnsi="Montserrat"/>
            <w:color w:val="auto"/>
            <w:szCs w:val="22"/>
          </w:rPr>
          <w:t>reports@oceangrants.org.uk</w:t>
        </w:r>
      </w:hyperlink>
      <w:r w:rsidRPr="00B1307F">
        <w:rPr>
          <w:rFonts w:ascii="Montserrat" w:hAnsi="Montserrat"/>
          <w:szCs w:val="22"/>
        </w:rPr>
        <w:t xml:space="preserve"> and a member of the OCEAN Grant Administrator Team will review the document and return for feedback.</w:t>
      </w:r>
    </w:p>
    <w:p w14:paraId="4AC2DC11" w14:textId="51CA4A75" w:rsidR="00682001" w:rsidRPr="00B1307F" w:rsidRDefault="00682001" w:rsidP="00CE3C0F">
      <w:pPr>
        <w:pStyle w:val="ListBullet"/>
        <w:numPr>
          <w:ilvl w:val="0"/>
          <w:numId w:val="0"/>
        </w:numPr>
        <w:spacing w:before="120" w:after="120" w:line="286" w:lineRule="auto"/>
        <w:contextualSpacing w:val="0"/>
        <w:jc w:val="both"/>
        <w:rPr>
          <w:rFonts w:ascii="Montserrat" w:hAnsi="Montserrat"/>
          <w:szCs w:val="22"/>
        </w:rPr>
      </w:pPr>
      <w:r w:rsidRPr="00B1307F">
        <w:rPr>
          <w:rFonts w:ascii="Montserrat" w:hAnsi="Montserrat"/>
          <w:szCs w:val="22"/>
        </w:rPr>
        <w:t xml:space="preserve">If you have been </w:t>
      </w:r>
      <w:r w:rsidR="00FF42BA" w:rsidRPr="00B1307F">
        <w:rPr>
          <w:rFonts w:ascii="Montserrat" w:hAnsi="Montserrat"/>
          <w:szCs w:val="22"/>
        </w:rPr>
        <w:t xml:space="preserve">made aware of a safeguarding incident, then </w:t>
      </w:r>
      <w:r w:rsidR="00A00FC0" w:rsidRPr="00B1307F">
        <w:rPr>
          <w:rFonts w:ascii="Montserrat" w:hAnsi="Montserrat"/>
          <w:szCs w:val="22"/>
        </w:rPr>
        <w:t>you should submit your report directly to Defra via</w:t>
      </w:r>
      <w:r w:rsidR="00B1307F" w:rsidRPr="00B1307F">
        <w:rPr>
          <w:rFonts w:ascii="Montserrat" w:hAnsi="Montserrat"/>
          <w:szCs w:val="22"/>
        </w:rPr>
        <w:t>:</w:t>
      </w:r>
    </w:p>
    <w:p w14:paraId="0B4F4407" w14:textId="4D2D531A" w:rsidR="00B1307F" w:rsidRPr="00B1307F" w:rsidRDefault="00B1307F" w:rsidP="00B1307F">
      <w:pPr>
        <w:numPr>
          <w:ilvl w:val="0"/>
          <w:numId w:val="37"/>
        </w:numPr>
        <w:spacing w:before="100" w:beforeAutospacing="1" w:after="100" w:afterAutospacing="1"/>
        <w:rPr>
          <w:rFonts w:ascii="Montserrat" w:hAnsi="Montserrat"/>
          <w:szCs w:val="22"/>
        </w:rPr>
      </w:pPr>
      <w:r w:rsidRPr="00B1307F">
        <w:rPr>
          <w:rFonts w:ascii="Montserrat" w:hAnsi="Montserrat"/>
          <w:szCs w:val="22"/>
        </w:rPr>
        <w:t xml:space="preserve">Safeguarding concerns (including SEAH): </w:t>
      </w:r>
      <w:hyperlink r:id="rId26" w:history="1">
        <w:r w:rsidR="0013355C" w:rsidRPr="00C73630">
          <w:rPr>
            <w:rStyle w:val="Hyperlink"/>
            <w:rFonts w:ascii="Montserrat" w:hAnsi="Montserrat"/>
            <w:szCs w:val="22"/>
          </w:rPr>
          <w:t>ODA.Safeguarding@defra.gov.uk</w:t>
        </w:r>
      </w:hyperlink>
      <w:r w:rsidR="0013355C">
        <w:rPr>
          <w:rFonts w:ascii="Montserrat" w:hAnsi="Montserrat"/>
          <w:szCs w:val="22"/>
        </w:rPr>
        <w:t xml:space="preserve"> </w:t>
      </w:r>
    </w:p>
    <w:p w14:paraId="3D2BA0E4" w14:textId="77777777" w:rsidR="00B1307F" w:rsidRPr="009D3DA0" w:rsidRDefault="00B1307F" w:rsidP="00CE3C0F">
      <w:pPr>
        <w:pStyle w:val="ListBullet"/>
        <w:numPr>
          <w:ilvl w:val="0"/>
          <w:numId w:val="0"/>
        </w:numPr>
        <w:spacing w:before="120" w:after="120" w:line="286" w:lineRule="auto"/>
        <w:contextualSpacing w:val="0"/>
        <w:jc w:val="both"/>
        <w:rPr>
          <w:rFonts w:ascii="Montserrat" w:hAnsi="Montserrat"/>
          <w:szCs w:val="22"/>
        </w:rPr>
      </w:pPr>
    </w:p>
    <w:p w14:paraId="16DF8AC7" w14:textId="77777777" w:rsidR="00F4086D" w:rsidRPr="00BC02AF" w:rsidRDefault="00F4086D" w:rsidP="00CE3C0F">
      <w:pPr>
        <w:pStyle w:val="ListBullet"/>
        <w:numPr>
          <w:ilvl w:val="0"/>
          <w:numId w:val="0"/>
        </w:numPr>
        <w:spacing w:before="120" w:after="120" w:line="286" w:lineRule="auto"/>
        <w:contextualSpacing w:val="0"/>
        <w:jc w:val="center"/>
        <w:rPr>
          <w:rFonts w:ascii="Montserrat" w:hAnsi="Montserrat"/>
          <w:sz w:val="2"/>
          <w:szCs w:val="2"/>
        </w:rPr>
      </w:pPr>
    </w:p>
    <w:sectPr w:rsidR="00F4086D" w:rsidRPr="00BC02AF" w:rsidSect="00CE3C0F">
      <w:headerReference w:type="default" r:id="rId27"/>
      <w:pgSz w:w="16834" w:h="11909" w:orient="landscape"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827E" w14:textId="77777777" w:rsidR="00923DB0" w:rsidRDefault="00923DB0">
      <w:r>
        <w:separator/>
      </w:r>
    </w:p>
  </w:endnote>
  <w:endnote w:type="continuationSeparator" w:id="0">
    <w:p w14:paraId="4129E9B0" w14:textId="77777777" w:rsidR="00923DB0" w:rsidRDefault="00923DB0">
      <w:r>
        <w:continuationSeparator/>
      </w:r>
    </w:p>
  </w:endnote>
  <w:endnote w:type="continuationNotice" w:id="1">
    <w:p w14:paraId="3BE47471" w14:textId="77777777" w:rsidR="00923DB0" w:rsidRDefault="00923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alibri"/>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0724" w14:textId="77777777" w:rsidR="00335157" w:rsidRDefault="00335157" w:rsidP="00AB55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47CBF0" w14:textId="77777777" w:rsidR="00335157" w:rsidRDefault="00335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C9F5" w14:textId="77777777" w:rsidR="00B64C2C" w:rsidRDefault="00B64C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720D" w14:textId="77777777" w:rsidR="00B64C2C" w:rsidRDefault="00B64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53EC" w14:textId="77777777" w:rsidR="00923DB0" w:rsidRDefault="00923DB0">
      <w:r>
        <w:separator/>
      </w:r>
    </w:p>
  </w:footnote>
  <w:footnote w:type="continuationSeparator" w:id="0">
    <w:p w14:paraId="1BDF732E" w14:textId="77777777" w:rsidR="00923DB0" w:rsidRDefault="00923DB0">
      <w:r>
        <w:continuationSeparator/>
      </w:r>
    </w:p>
  </w:footnote>
  <w:footnote w:type="continuationNotice" w:id="1">
    <w:p w14:paraId="01B5BF21" w14:textId="77777777" w:rsidR="00923DB0" w:rsidRDefault="00923D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04A8" w14:textId="77777777" w:rsidR="00B64C2C" w:rsidRDefault="00B64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C769" w14:textId="1B71AA95" w:rsidR="00D8110B" w:rsidRDefault="00D2542E">
    <w:pPr>
      <w:pStyle w:val="Header"/>
    </w:pPr>
    <w:r>
      <w:rPr>
        <w:noProof/>
      </w:rPr>
      <w:drawing>
        <wp:anchor distT="0" distB="0" distL="114300" distR="114300" simplePos="0" relativeHeight="251658240" behindDoc="0" locked="0" layoutInCell="1" allowOverlap="1" wp14:anchorId="32461A5C" wp14:editId="0039F208">
          <wp:simplePos x="0" y="0"/>
          <wp:positionH relativeFrom="margin">
            <wp:posOffset>4215682</wp:posOffset>
          </wp:positionH>
          <wp:positionV relativeFrom="paragraph">
            <wp:posOffset>-90335</wp:posOffset>
          </wp:positionV>
          <wp:extent cx="2236192" cy="546238"/>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2236192" cy="54623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EFB8" w14:textId="77777777" w:rsidR="00B64C2C" w:rsidRDefault="00B64C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D8F2C" w14:textId="77777777" w:rsidR="00F4086D" w:rsidRDefault="00F4086D">
    <w:pPr>
      <w:pStyle w:val="Header"/>
    </w:pPr>
    <w:r>
      <w:rPr>
        <w:noProof/>
      </w:rPr>
      <w:drawing>
        <wp:anchor distT="0" distB="0" distL="114300" distR="114300" simplePos="0" relativeHeight="251658241" behindDoc="0" locked="0" layoutInCell="1" allowOverlap="1" wp14:anchorId="6E705EB4" wp14:editId="473C516B">
          <wp:simplePos x="0" y="0"/>
          <wp:positionH relativeFrom="page">
            <wp:posOffset>9035144</wp:posOffset>
          </wp:positionH>
          <wp:positionV relativeFrom="paragraph">
            <wp:posOffset>-402320</wp:posOffset>
          </wp:positionV>
          <wp:extent cx="1586723" cy="387592"/>
          <wp:effectExtent l="0" t="0" r="0" b="0"/>
          <wp:wrapNone/>
          <wp:docPr id="75696957" name="Picture 75696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586723" cy="38759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9B03F4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6DE322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AD239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F57694"/>
    <w:multiLevelType w:val="hybridMultilevel"/>
    <w:tmpl w:val="A224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22643E"/>
    <w:multiLevelType w:val="hybridMultilevel"/>
    <w:tmpl w:val="E36E9C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C95421"/>
    <w:multiLevelType w:val="multilevel"/>
    <w:tmpl w:val="B0CAC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1D34D4"/>
    <w:multiLevelType w:val="hybridMultilevel"/>
    <w:tmpl w:val="DC0E85C0"/>
    <w:lvl w:ilvl="0" w:tplc="8BF6BD26">
      <w:start w:val="1"/>
      <w:numFmt w:val="bullet"/>
      <w:pStyle w:val="ListBullet2"/>
      <w:lvlText w:val=""/>
      <w:lvlJc w:val="left"/>
      <w:pPr>
        <w:tabs>
          <w:tab w:val="num" w:pos="-218"/>
        </w:tabs>
        <w:ind w:left="502" w:hanging="360"/>
      </w:pPr>
      <w:rPr>
        <w:rFonts w:ascii="Symbol" w:hAnsi="Symbol" w:cs="Symbol" w:hint="default"/>
      </w:rPr>
    </w:lvl>
    <w:lvl w:ilvl="1" w:tplc="08090003" w:tentative="1">
      <w:start w:val="1"/>
      <w:numFmt w:val="bullet"/>
      <w:lvlText w:val="o"/>
      <w:lvlJc w:val="left"/>
      <w:pPr>
        <w:tabs>
          <w:tab w:val="num" w:pos="1015"/>
        </w:tabs>
        <w:ind w:left="1015" w:hanging="360"/>
      </w:pPr>
      <w:rPr>
        <w:rFonts w:ascii="Courier New" w:hAnsi="Courier New" w:cs="Courier New" w:hint="default"/>
      </w:rPr>
    </w:lvl>
    <w:lvl w:ilvl="2" w:tplc="08090005" w:tentative="1">
      <w:start w:val="1"/>
      <w:numFmt w:val="bullet"/>
      <w:lvlText w:val=""/>
      <w:lvlJc w:val="left"/>
      <w:pPr>
        <w:tabs>
          <w:tab w:val="num" w:pos="1735"/>
        </w:tabs>
        <w:ind w:left="1735" w:hanging="360"/>
      </w:pPr>
      <w:rPr>
        <w:rFonts w:ascii="Wingdings" w:hAnsi="Wingdings" w:hint="default"/>
      </w:rPr>
    </w:lvl>
    <w:lvl w:ilvl="3" w:tplc="08090001" w:tentative="1">
      <w:start w:val="1"/>
      <w:numFmt w:val="bullet"/>
      <w:lvlText w:val=""/>
      <w:lvlJc w:val="left"/>
      <w:pPr>
        <w:tabs>
          <w:tab w:val="num" w:pos="2455"/>
        </w:tabs>
        <w:ind w:left="2455" w:hanging="360"/>
      </w:pPr>
      <w:rPr>
        <w:rFonts w:ascii="Symbol" w:hAnsi="Symbol" w:hint="default"/>
      </w:rPr>
    </w:lvl>
    <w:lvl w:ilvl="4" w:tplc="08090003" w:tentative="1">
      <w:start w:val="1"/>
      <w:numFmt w:val="bullet"/>
      <w:lvlText w:val="o"/>
      <w:lvlJc w:val="left"/>
      <w:pPr>
        <w:tabs>
          <w:tab w:val="num" w:pos="3175"/>
        </w:tabs>
        <w:ind w:left="3175" w:hanging="360"/>
      </w:pPr>
      <w:rPr>
        <w:rFonts w:ascii="Courier New" w:hAnsi="Courier New" w:cs="Courier New" w:hint="default"/>
      </w:rPr>
    </w:lvl>
    <w:lvl w:ilvl="5" w:tplc="08090005" w:tentative="1">
      <w:start w:val="1"/>
      <w:numFmt w:val="bullet"/>
      <w:lvlText w:val=""/>
      <w:lvlJc w:val="left"/>
      <w:pPr>
        <w:tabs>
          <w:tab w:val="num" w:pos="3895"/>
        </w:tabs>
        <w:ind w:left="3895" w:hanging="360"/>
      </w:pPr>
      <w:rPr>
        <w:rFonts w:ascii="Wingdings" w:hAnsi="Wingdings" w:hint="default"/>
      </w:rPr>
    </w:lvl>
    <w:lvl w:ilvl="6" w:tplc="08090001" w:tentative="1">
      <w:start w:val="1"/>
      <w:numFmt w:val="bullet"/>
      <w:lvlText w:val=""/>
      <w:lvlJc w:val="left"/>
      <w:pPr>
        <w:tabs>
          <w:tab w:val="num" w:pos="4615"/>
        </w:tabs>
        <w:ind w:left="4615" w:hanging="360"/>
      </w:pPr>
      <w:rPr>
        <w:rFonts w:ascii="Symbol" w:hAnsi="Symbol" w:hint="default"/>
      </w:rPr>
    </w:lvl>
    <w:lvl w:ilvl="7" w:tplc="08090003" w:tentative="1">
      <w:start w:val="1"/>
      <w:numFmt w:val="bullet"/>
      <w:lvlText w:val="o"/>
      <w:lvlJc w:val="left"/>
      <w:pPr>
        <w:tabs>
          <w:tab w:val="num" w:pos="5335"/>
        </w:tabs>
        <w:ind w:left="5335" w:hanging="360"/>
      </w:pPr>
      <w:rPr>
        <w:rFonts w:ascii="Courier New" w:hAnsi="Courier New" w:cs="Courier New" w:hint="default"/>
      </w:rPr>
    </w:lvl>
    <w:lvl w:ilvl="8" w:tplc="08090005" w:tentative="1">
      <w:start w:val="1"/>
      <w:numFmt w:val="bullet"/>
      <w:lvlText w:val=""/>
      <w:lvlJc w:val="left"/>
      <w:pPr>
        <w:tabs>
          <w:tab w:val="num" w:pos="6055"/>
        </w:tabs>
        <w:ind w:left="6055" w:hanging="360"/>
      </w:pPr>
      <w:rPr>
        <w:rFonts w:ascii="Wingdings" w:hAnsi="Wingdings" w:hint="default"/>
      </w:rPr>
    </w:lvl>
  </w:abstractNum>
  <w:abstractNum w:abstractNumId="7" w15:restartNumberingAfterBreak="0">
    <w:nsid w:val="06A928A5"/>
    <w:multiLevelType w:val="multilevel"/>
    <w:tmpl w:val="0F94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B452D9"/>
    <w:multiLevelType w:val="hybridMultilevel"/>
    <w:tmpl w:val="0CAC8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EA7FF3"/>
    <w:multiLevelType w:val="multilevel"/>
    <w:tmpl w:val="B19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BB68E6"/>
    <w:multiLevelType w:val="hybridMultilevel"/>
    <w:tmpl w:val="0A90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24054D"/>
    <w:multiLevelType w:val="hybridMultilevel"/>
    <w:tmpl w:val="F9ACC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8B074A"/>
    <w:multiLevelType w:val="hybridMultilevel"/>
    <w:tmpl w:val="803E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518C2"/>
    <w:multiLevelType w:val="multilevel"/>
    <w:tmpl w:val="E940EE94"/>
    <w:lvl w:ilvl="0">
      <w:start w:val="1"/>
      <w:numFmt w:val="decimal"/>
      <w:lvlText w:val="%1."/>
      <w:lvlJc w:val="left"/>
      <w:pPr>
        <w:tabs>
          <w:tab w:val="num" w:pos="851"/>
        </w:tabs>
        <w:ind w:left="851" w:hanging="851"/>
      </w:pPr>
      <w:rPr>
        <w:rFonts w:ascii="Arial Bold" w:hAnsi="Arial Bold" w:hint="default"/>
        <w:b/>
        <w:i w:val="0"/>
        <w:sz w:val="24"/>
      </w:rPr>
    </w:lvl>
    <w:lvl w:ilvl="1">
      <w:start w:val="1"/>
      <w:numFmt w:val="decimal"/>
      <w:lvlText w:val="%1.%2"/>
      <w:lvlJc w:val="left"/>
      <w:pPr>
        <w:tabs>
          <w:tab w:val="num" w:pos="851"/>
        </w:tabs>
        <w:ind w:left="851" w:hanging="851"/>
      </w:pPr>
      <w:rPr>
        <w:rFonts w:hint="default"/>
        <w:b/>
        <w:i w:val="0"/>
        <w:sz w:val="28"/>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15BB648A"/>
    <w:multiLevelType w:val="multilevel"/>
    <w:tmpl w:val="A4B688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00224C"/>
    <w:multiLevelType w:val="hybridMultilevel"/>
    <w:tmpl w:val="EA52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5B01C0"/>
    <w:multiLevelType w:val="hybridMultilevel"/>
    <w:tmpl w:val="9B5CB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DF1970"/>
    <w:multiLevelType w:val="hybridMultilevel"/>
    <w:tmpl w:val="207A5320"/>
    <w:lvl w:ilvl="0" w:tplc="FFFFFFFF">
      <w:start w:val="1"/>
      <w:numFmt w:val="bullet"/>
      <w:lvlText w:val=""/>
      <w:lvlJc w:val="left"/>
      <w:pPr>
        <w:tabs>
          <w:tab w:val="num" w:pos="360"/>
        </w:tabs>
        <w:ind w:left="284" w:hanging="28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EF78A7"/>
    <w:multiLevelType w:val="hybridMultilevel"/>
    <w:tmpl w:val="FE9AF65A"/>
    <w:lvl w:ilvl="0" w:tplc="83304BB4">
      <w:start w:val="1"/>
      <w:numFmt w:val="bullet"/>
      <w:lvlText w:val=""/>
      <w:lvlJc w:val="left"/>
      <w:pPr>
        <w:ind w:left="720" w:hanging="360"/>
      </w:pPr>
      <w:rPr>
        <w:rFonts w:ascii="Symbol" w:hAnsi="Symbol" w:hint="default"/>
        <w:color w:val="241AF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E0609D"/>
    <w:multiLevelType w:val="hybridMultilevel"/>
    <w:tmpl w:val="595EE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3D027C8"/>
    <w:multiLevelType w:val="multilevel"/>
    <w:tmpl w:val="0409001F"/>
    <w:numStyleLink w:val="111111"/>
  </w:abstractNum>
  <w:abstractNum w:abstractNumId="21" w15:restartNumberingAfterBreak="0">
    <w:nsid w:val="27830AAA"/>
    <w:multiLevelType w:val="hybridMultilevel"/>
    <w:tmpl w:val="A2C4AA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D5843C6"/>
    <w:multiLevelType w:val="multilevel"/>
    <w:tmpl w:val="978A2D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5017E6"/>
    <w:multiLevelType w:val="multilevel"/>
    <w:tmpl w:val="978A2D74"/>
    <w:lvl w:ilvl="0">
      <w:start w:val="1"/>
      <w:numFmt w:val="decimal"/>
      <w:lvlText w:val="%1."/>
      <w:lvlJc w:val="left"/>
      <w:pPr>
        <w:tabs>
          <w:tab w:val="num" w:pos="720"/>
        </w:tabs>
        <w:ind w:left="720" w:hanging="360"/>
      </w:pPr>
    </w:lvl>
    <w:lvl w:ilvl="1">
      <w:start w:val="1"/>
      <w:numFmt w:val="lowerLetter"/>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5409EC"/>
    <w:multiLevelType w:val="hybridMultilevel"/>
    <w:tmpl w:val="CE2AC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3480071"/>
    <w:multiLevelType w:val="multilevel"/>
    <w:tmpl w:val="BBDEECE2"/>
    <w:lvl w:ilvl="0">
      <w:start w:val="1"/>
      <w:numFmt w:val="decimal"/>
      <w:pStyle w:val="Heading1"/>
      <w:lvlText w:val="%1."/>
      <w:lvlJc w:val="left"/>
      <w:pPr>
        <w:tabs>
          <w:tab w:val="num" w:pos="851"/>
        </w:tabs>
        <w:ind w:left="851" w:hanging="851"/>
      </w:pPr>
      <w:rPr>
        <w:rFonts w:ascii="Arial Bold" w:hAnsi="Arial Bold" w:hint="default"/>
        <w:b/>
        <w:i w:val="0"/>
        <w:sz w:val="24"/>
      </w:rPr>
    </w:lvl>
    <w:lvl w:ilvl="1">
      <w:start w:val="1"/>
      <w:numFmt w:val="decimal"/>
      <w:pStyle w:val="Heading2"/>
      <w:lvlText w:val="%1.%2"/>
      <w:lvlJc w:val="left"/>
      <w:pPr>
        <w:tabs>
          <w:tab w:val="num" w:pos="851"/>
        </w:tabs>
        <w:ind w:left="851" w:hanging="851"/>
      </w:pPr>
      <w:rPr>
        <w:rFonts w:hint="default"/>
        <w:b/>
        <w:i w:val="0"/>
        <w:sz w:val="22"/>
      </w:rPr>
    </w:lvl>
    <w:lvl w:ilvl="2">
      <w:start w:val="1"/>
      <w:numFmt w:val="none"/>
      <w:pStyle w:val="Heading3"/>
      <w:lvlText w:val=""/>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3B197024"/>
    <w:multiLevelType w:val="hybridMultilevel"/>
    <w:tmpl w:val="A448F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C34893"/>
    <w:multiLevelType w:val="multilevel"/>
    <w:tmpl w:val="6726B0E2"/>
    <w:lvl w:ilvl="0">
      <w:start w:val="1"/>
      <w:numFmt w:val="decimal"/>
      <w:lvlText w:val="%1."/>
      <w:lvlJc w:val="left"/>
      <w:pPr>
        <w:tabs>
          <w:tab w:val="num" w:pos="851"/>
        </w:tabs>
        <w:ind w:left="851" w:hanging="851"/>
      </w:pPr>
      <w:rPr>
        <w:rFonts w:ascii="Arial Bold" w:hAnsi="Arial Bold" w:hint="default"/>
        <w:b/>
        <w:i w:val="0"/>
        <w:sz w:val="40"/>
      </w:rPr>
    </w:lvl>
    <w:lvl w:ilvl="1">
      <w:start w:val="1"/>
      <w:numFmt w:val="decimal"/>
      <w:lvlText w:val="%1.%2"/>
      <w:lvlJc w:val="left"/>
      <w:pPr>
        <w:tabs>
          <w:tab w:val="num" w:pos="851"/>
        </w:tabs>
        <w:ind w:left="851" w:hanging="851"/>
      </w:pPr>
      <w:rPr>
        <w:rFonts w:hint="default"/>
        <w:b/>
        <w:i w:val="0"/>
        <w:sz w:val="28"/>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8" w15:restartNumberingAfterBreak="0">
    <w:nsid w:val="49185525"/>
    <w:multiLevelType w:val="multilevel"/>
    <w:tmpl w:val="312245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sz w:val="18"/>
        <w:szCs w:val="1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E2472E"/>
    <w:multiLevelType w:val="hybridMultilevel"/>
    <w:tmpl w:val="E858367C"/>
    <w:lvl w:ilvl="0" w:tplc="87E27AAA">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2C235AC"/>
    <w:multiLevelType w:val="multilevel"/>
    <w:tmpl w:val="88BE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CC4E32"/>
    <w:multiLevelType w:val="multilevel"/>
    <w:tmpl w:val="25D25D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FC4FA2"/>
    <w:multiLevelType w:val="multilevel"/>
    <w:tmpl w:val="5D3EB2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AC3DA0"/>
    <w:multiLevelType w:val="multilevel"/>
    <w:tmpl w:val="DAA2336A"/>
    <w:lvl w:ilvl="0">
      <w:start w:val="1"/>
      <w:numFmt w:val="decimal"/>
      <w:lvlText w:val="%1."/>
      <w:lvlJc w:val="left"/>
      <w:pPr>
        <w:tabs>
          <w:tab w:val="num" w:pos="851"/>
        </w:tabs>
        <w:ind w:left="851" w:hanging="851"/>
      </w:pPr>
      <w:rPr>
        <w:rFonts w:ascii="Arial Bold" w:hAnsi="Arial Bold" w:hint="default"/>
        <w:b/>
        <w:i w:val="0"/>
        <w:sz w:val="24"/>
      </w:rPr>
    </w:lvl>
    <w:lvl w:ilvl="1">
      <w:start w:val="1"/>
      <w:numFmt w:val="decimal"/>
      <w:lvlText w:val="%1.%2"/>
      <w:lvlJc w:val="left"/>
      <w:pPr>
        <w:tabs>
          <w:tab w:val="num" w:pos="851"/>
        </w:tabs>
        <w:ind w:left="851" w:hanging="851"/>
      </w:pPr>
      <w:rPr>
        <w:rFonts w:hint="default"/>
        <w:b/>
        <w:i w:val="0"/>
        <w:sz w:val="22"/>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4" w15:restartNumberingAfterBreak="0">
    <w:nsid w:val="631573D2"/>
    <w:multiLevelType w:val="hybridMultilevel"/>
    <w:tmpl w:val="41D4BA84"/>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5A01E9"/>
    <w:multiLevelType w:val="hybridMultilevel"/>
    <w:tmpl w:val="FB9C5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E44A42"/>
    <w:multiLevelType w:val="hybridMultilevel"/>
    <w:tmpl w:val="26A2A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A4410D2"/>
    <w:multiLevelType w:val="multilevel"/>
    <w:tmpl w:val="87BA939E"/>
    <w:lvl w:ilvl="0">
      <w:start w:val="1"/>
      <w:numFmt w:val="decimal"/>
      <w:lvlText w:val="%1."/>
      <w:lvlJc w:val="left"/>
      <w:pPr>
        <w:tabs>
          <w:tab w:val="num" w:pos="720"/>
        </w:tabs>
        <w:ind w:left="720" w:hanging="360"/>
      </w:pPr>
    </w:lvl>
    <w:lvl w:ilvl="1">
      <w:start w:val="1"/>
      <w:numFmt w:val="lowerLetter"/>
      <w:lvlText w:val="%2."/>
      <w:lvlJc w:val="left"/>
      <w:pPr>
        <w:tabs>
          <w:tab w:val="num" w:pos="1353"/>
        </w:tabs>
        <w:ind w:left="1353" w:hanging="360"/>
      </w:pPr>
      <w:rPr>
        <w:b w:val="0"/>
        <w:bCs w:val="0"/>
        <w:sz w:val="18"/>
        <w:szCs w:val="1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2B27CC"/>
    <w:multiLevelType w:val="hybridMultilevel"/>
    <w:tmpl w:val="0396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3C5BE4"/>
    <w:multiLevelType w:val="multilevel"/>
    <w:tmpl w:val="A4B688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A92C16"/>
    <w:multiLevelType w:val="hybridMultilevel"/>
    <w:tmpl w:val="21369E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C75932"/>
    <w:multiLevelType w:val="multilevel"/>
    <w:tmpl w:val="413271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8803962">
    <w:abstractNumId w:val="25"/>
  </w:num>
  <w:num w:numId="2" w16cid:durableId="1675952868">
    <w:abstractNumId w:val="27"/>
  </w:num>
  <w:num w:numId="3" w16cid:durableId="1762024183">
    <w:abstractNumId w:val="13"/>
  </w:num>
  <w:num w:numId="4" w16cid:durableId="849107377">
    <w:abstractNumId w:val="33"/>
  </w:num>
  <w:num w:numId="5" w16cid:durableId="1503156062">
    <w:abstractNumId w:val="17"/>
  </w:num>
  <w:num w:numId="6" w16cid:durableId="302005067">
    <w:abstractNumId w:val="0"/>
  </w:num>
  <w:num w:numId="7" w16cid:durableId="900562651">
    <w:abstractNumId w:val="6"/>
  </w:num>
  <w:num w:numId="8" w16cid:durableId="2018996965">
    <w:abstractNumId w:val="35"/>
  </w:num>
  <w:num w:numId="9" w16cid:durableId="967051672">
    <w:abstractNumId w:val="25"/>
  </w:num>
  <w:num w:numId="10" w16cid:durableId="686295300">
    <w:abstractNumId w:val="25"/>
  </w:num>
  <w:num w:numId="11" w16cid:durableId="386881185">
    <w:abstractNumId w:val="25"/>
  </w:num>
  <w:num w:numId="12" w16cid:durableId="323054069">
    <w:abstractNumId w:val="15"/>
  </w:num>
  <w:num w:numId="13" w16cid:durableId="1453358059">
    <w:abstractNumId w:val="3"/>
  </w:num>
  <w:num w:numId="14" w16cid:durableId="1910535798">
    <w:abstractNumId w:val="1"/>
  </w:num>
  <w:num w:numId="15" w16cid:durableId="865828605">
    <w:abstractNumId w:val="10"/>
  </w:num>
  <w:num w:numId="16" w16cid:durableId="863135262">
    <w:abstractNumId w:val="16"/>
  </w:num>
  <w:num w:numId="17" w16cid:durableId="800071457">
    <w:abstractNumId w:val="8"/>
  </w:num>
  <w:num w:numId="18" w16cid:durableId="1812287449">
    <w:abstractNumId w:val="12"/>
  </w:num>
  <w:num w:numId="19" w16cid:durableId="815223080">
    <w:abstractNumId w:val="2"/>
  </w:num>
  <w:num w:numId="20" w16cid:durableId="1773428535">
    <w:abstractNumId w:val="20"/>
  </w:num>
  <w:num w:numId="21" w16cid:durableId="552231155">
    <w:abstractNumId w:val="25"/>
  </w:num>
  <w:num w:numId="22" w16cid:durableId="653266668">
    <w:abstractNumId w:val="11"/>
  </w:num>
  <w:num w:numId="23" w16cid:durableId="1812407534">
    <w:abstractNumId w:val="18"/>
  </w:num>
  <w:num w:numId="24" w16cid:durableId="251164767">
    <w:abstractNumId w:val="38"/>
  </w:num>
  <w:num w:numId="25" w16cid:durableId="1083986412">
    <w:abstractNumId w:val="29"/>
  </w:num>
  <w:num w:numId="26" w16cid:durableId="642580952">
    <w:abstractNumId w:val="1"/>
  </w:num>
  <w:num w:numId="27" w16cid:durableId="1416317617">
    <w:abstractNumId w:val="34"/>
  </w:num>
  <w:num w:numId="28" w16cid:durableId="1778213023">
    <w:abstractNumId w:val="1"/>
  </w:num>
  <w:num w:numId="29" w16cid:durableId="277954387">
    <w:abstractNumId w:val="19"/>
  </w:num>
  <w:num w:numId="30" w16cid:durableId="594293152">
    <w:abstractNumId w:val="4"/>
  </w:num>
  <w:num w:numId="31" w16cid:durableId="2128767286">
    <w:abstractNumId w:val="40"/>
  </w:num>
  <w:num w:numId="32" w16cid:durableId="1108543114">
    <w:abstractNumId w:val="21"/>
  </w:num>
  <w:num w:numId="33" w16cid:durableId="49236167">
    <w:abstractNumId w:val="36"/>
  </w:num>
  <w:num w:numId="34" w16cid:durableId="1030033035">
    <w:abstractNumId w:val="24"/>
  </w:num>
  <w:num w:numId="35" w16cid:durableId="1627157343">
    <w:abstractNumId w:val="26"/>
  </w:num>
  <w:num w:numId="36" w16cid:durableId="547761010">
    <w:abstractNumId w:val="1"/>
  </w:num>
  <w:num w:numId="37" w16cid:durableId="1776048803">
    <w:abstractNumId w:val="7"/>
  </w:num>
  <w:num w:numId="38" w16cid:durableId="1155226368">
    <w:abstractNumId w:val="28"/>
  </w:num>
  <w:num w:numId="39" w16cid:durableId="2105686076">
    <w:abstractNumId w:val="37"/>
  </w:num>
  <w:num w:numId="40" w16cid:durableId="735788321">
    <w:abstractNumId w:val="14"/>
    <w:lvlOverride w:ilvl="0">
      <w:startOverride w:val="3"/>
    </w:lvlOverride>
  </w:num>
  <w:num w:numId="41" w16cid:durableId="2133938649">
    <w:abstractNumId w:val="39"/>
  </w:num>
  <w:num w:numId="42" w16cid:durableId="2085059093">
    <w:abstractNumId w:val="22"/>
    <w:lvlOverride w:ilvl="0">
      <w:startOverride w:val="4"/>
    </w:lvlOverride>
  </w:num>
  <w:num w:numId="43" w16cid:durableId="122119028">
    <w:abstractNumId w:val="23"/>
  </w:num>
  <w:num w:numId="44" w16cid:durableId="678317659">
    <w:abstractNumId w:val="32"/>
    <w:lvlOverride w:ilvl="0">
      <w:startOverride w:val="5"/>
    </w:lvlOverride>
  </w:num>
  <w:num w:numId="45" w16cid:durableId="557208154">
    <w:abstractNumId w:val="41"/>
  </w:num>
  <w:num w:numId="46" w16cid:durableId="377166882">
    <w:abstractNumId w:val="31"/>
    <w:lvlOverride w:ilvl="0">
      <w:startOverride w:val="6"/>
    </w:lvlOverride>
  </w:num>
  <w:num w:numId="47" w16cid:durableId="800417082">
    <w:abstractNumId w:val="5"/>
  </w:num>
  <w:num w:numId="48" w16cid:durableId="1536772986">
    <w:abstractNumId w:val="30"/>
  </w:num>
  <w:num w:numId="49" w16cid:durableId="16036117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F03"/>
    <w:rsid w:val="00001076"/>
    <w:rsid w:val="00002B1D"/>
    <w:rsid w:val="000139A7"/>
    <w:rsid w:val="000139CF"/>
    <w:rsid w:val="00020DF0"/>
    <w:rsid w:val="00021DE9"/>
    <w:rsid w:val="000248F8"/>
    <w:rsid w:val="000257A6"/>
    <w:rsid w:val="00025FB5"/>
    <w:rsid w:val="00027695"/>
    <w:rsid w:val="00031ED7"/>
    <w:rsid w:val="000416D7"/>
    <w:rsid w:val="00046FB3"/>
    <w:rsid w:val="00050D59"/>
    <w:rsid w:val="0005375C"/>
    <w:rsid w:val="000549C0"/>
    <w:rsid w:val="00056A7C"/>
    <w:rsid w:val="00066CC8"/>
    <w:rsid w:val="000721B8"/>
    <w:rsid w:val="000722BC"/>
    <w:rsid w:val="00074ACC"/>
    <w:rsid w:val="00080416"/>
    <w:rsid w:val="000839A8"/>
    <w:rsid w:val="00086B55"/>
    <w:rsid w:val="0008704F"/>
    <w:rsid w:val="00090853"/>
    <w:rsid w:val="00090F69"/>
    <w:rsid w:val="00092161"/>
    <w:rsid w:val="00094B74"/>
    <w:rsid w:val="000A1442"/>
    <w:rsid w:val="000A4A55"/>
    <w:rsid w:val="000A549B"/>
    <w:rsid w:val="000A6894"/>
    <w:rsid w:val="000B1B77"/>
    <w:rsid w:val="000B1DF8"/>
    <w:rsid w:val="000B24A9"/>
    <w:rsid w:val="000B36EC"/>
    <w:rsid w:val="000B77A3"/>
    <w:rsid w:val="000C0A1D"/>
    <w:rsid w:val="000C217E"/>
    <w:rsid w:val="000C369B"/>
    <w:rsid w:val="000C3AC9"/>
    <w:rsid w:val="000C55E5"/>
    <w:rsid w:val="000D4B9A"/>
    <w:rsid w:val="000D56FE"/>
    <w:rsid w:val="000E101C"/>
    <w:rsid w:val="000E21A0"/>
    <w:rsid w:val="000E5AEE"/>
    <w:rsid w:val="000E5B16"/>
    <w:rsid w:val="000E5EE9"/>
    <w:rsid w:val="000E67C5"/>
    <w:rsid w:val="000F1AFF"/>
    <w:rsid w:val="000F23CE"/>
    <w:rsid w:val="000F5C34"/>
    <w:rsid w:val="000F66A3"/>
    <w:rsid w:val="00101D75"/>
    <w:rsid w:val="00105345"/>
    <w:rsid w:val="001076D3"/>
    <w:rsid w:val="00110ADE"/>
    <w:rsid w:val="0011151D"/>
    <w:rsid w:val="0011283A"/>
    <w:rsid w:val="001135E3"/>
    <w:rsid w:val="00113C06"/>
    <w:rsid w:val="00113CAF"/>
    <w:rsid w:val="00115181"/>
    <w:rsid w:val="00116A66"/>
    <w:rsid w:val="00116C3C"/>
    <w:rsid w:val="00117D9A"/>
    <w:rsid w:val="00120688"/>
    <w:rsid w:val="00122AA6"/>
    <w:rsid w:val="00123C56"/>
    <w:rsid w:val="001267DE"/>
    <w:rsid w:val="001314D9"/>
    <w:rsid w:val="0013355C"/>
    <w:rsid w:val="00133BB2"/>
    <w:rsid w:val="00136349"/>
    <w:rsid w:val="001411FA"/>
    <w:rsid w:val="001413B2"/>
    <w:rsid w:val="00141449"/>
    <w:rsid w:val="0014327D"/>
    <w:rsid w:val="00145BFC"/>
    <w:rsid w:val="00151A45"/>
    <w:rsid w:val="0015329E"/>
    <w:rsid w:val="00154746"/>
    <w:rsid w:val="00157D0D"/>
    <w:rsid w:val="00167F4C"/>
    <w:rsid w:val="00173304"/>
    <w:rsid w:val="001749A6"/>
    <w:rsid w:val="00176CC9"/>
    <w:rsid w:val="00180F4B"/>
    <w:rsid w:val="00181975"/>
    <w:rsid w:val="00185FDE"/>
    <w:rsid w:val="00187F9E"/>
    <w:rsid w:val="00192716"/>
    <w:rsid w:val="00196527"/>
    <w:rsid w:val="001A3813"/>
    <w:rsid w:val="001A3D51"/>
    <w:rsid w:val="001A46CF"/>
    <w:rsid w:val="001A47B9"/>
    <w:rsid w:val="001A6E15"/>
    <w:rsid w:val="001B0B41"/>
    <w:rsid w:val="001B1CF1"/>
    <w:rsid w:val="001B5CEE"/>
    <w:rsid w:val="001C6DD0"/>
    <w:rsid w:val="001C7B3E"/>
    <w:rsid w:val="001D4061"/>
    <w:rsid w:val="001D4898"/>
    <w:rsid w:val="001D539B"/>
    <w:rsid w:val="001D5BD7"/>
    <w:rsid w:val="001D74DF"/>
    <w:rsid w:val="001F06B4"/>
    <w:rsid w:val="001F4D08"/>
    <w:rsid w:val="001F4FA9"/>
    <w:rsid w:val="001F579D"/>
    <w:rsid w:val="001F592D"/>
    <w:rsid w:val="002039E7"/>
    <w:rsid w:val="00203C71"/>
    <w:rsid w:val="00204CE8"/>
    <w:rsid w:val="00206906"/>
    <w:rsid w:val="00207231"/>
    <w:rsid w:val="002075AC"/>
    <w:rsid w:val="00210DD7"/>
    <w:rsid w:val="0021213A"/>
    <w:rsid w:val="00212339"/>
    <w:rsid w:val="002123EB"/>
    <w:rsid w:val="00213BDD"/>
    <w:rsid w:val="00222CF7"/>
    <w:rsid w:val="00224383"/>
    <w:rsid w:val="0022444C"/>
    <w:rsid w:val="0022532B"/>
    <w:rsid w:val="00232D1B"/>
    <w:rsid w:val="00233496"/>
    <w:rsid w:val="00234E3F"/>
    <w:rsid w:val="00235590"/>
    <w:rsid w:val="0023628B"/>
    <w:rsid w:val="002362A2"/>
    <w:rsid w:val="00244EB6"/>
    <w:rsid w:val="00245ED9"/>
    <w:rsid w:val="002605A1"/>
    <w:rsid w:val="00261253"/>
    <w:rsid w:val="00261415"/>
    <w:rsid w:val="00261CBE"/>
    <w:rsid w:val="00264F95"/>
    <w:rsid w:val="0026659D"/>
    <w:rsid w:val="00270BA2"/>
    <w:rsid w:val="00271B6D"/>
    <w:rsid w:val="00271F93"/>
    <w:rsid w:val="00274D46"/>
    <w:rsid w:val="00275D78"/>
    <w:rsid w:val="00291D62"/>
    <w:rsid w:val="0029736D"/>
    <w:rsid w:val="002A1E41"/>
    <w:rsid w:val="002A32B9"/>
    <w:rsid w:val="002A4EEB"/>
    <w:rsid w:val="002A6A20"/>
    <w:rsid w:val="002B2841"/>
    <w:rsid w:val="002B34BD"/>
    <w:rsid w:val="002B7238"/>
    <w:rsid w:val="002B7B28"/>
    <w:rsid w:val="002C0A64"/>
    <w:rsid w:val="002C418E"/>
    <w:rsid w:val="002C4A5D"/>
    <w:rsid w:val="002C510E"/>
    <w:rsid w:val="002C5C95"/>
    <w:rsid w:val="002C679D"/>
    <w:rsid w:val="002D1C3E"/>
    <w:rsid w:val="002D5F73"/>
    <w:rsid w:val="002D6437"/>
    <w:rsid w:val="002D7139"/>
    <w:rsid w:val="002E0BB1"/>
    <w:rsid w:val="002F2F6B"/>
    <w:rsid w:val="002F6D7F"/>
    <w:rsid w:val="00301503"/>
    <w:rsid w:val="00302707"/>
    <w:rsid w:val="00302ADC"/>
    <w:rsid w:val="00304568"/>
    <w:rsid w:val="00304BC9"/>
    <w:rsid w:val="0031526F"/>
    <w:rsid w:val="00325775"/>
    <w:rsid w:val="00327809"/>
    <w:rsid w:val="003300FA"/>
    <w:rsid w:val="00331FFF"/>
    <w:rsid w:val="00335157"/>
    <w:rsid w:val="003408CF"/>
    <w:rsid w:val="00341747"/>
    <w:rsid w:val="003423F1"/>
    <w:rsid w:val="00346DCA"/>
    <w:rsid w:val="003508AD"/>
    <w:rsid w:val="00351D43"/>
    <w:rsid w:val="00353F85"/>
    <w:rsid w:val="00354A06"/>
    <w:rsid w:val="00356BB7"/>
    <w:rsid w:val="003579D9"/>
    <w:rsid w:val="00361841"/>
    <w:rsid w:val="00363BBC"/>
    <w:rsid w:val="003642CC"/>
    <w:rsid w:val="0036774C"/>
    <w:rsid w:val="00367DF3"/>
    <w:rsid w:val="00367F1B"/>
    <w:rsid w:val="003710A2"/>
    <w:rsid w:val="00373223"/>
    <w:rsid w:val="00373BBA"/>
    <w:rsid w:val="00373F6E"/>
    <w:rsid w:val="00374C66"/>
    <w:rsid w:val="00375314"/>
    <w:rsid w:val="00376EEE"/>
    <w:rsid w:val="003815AD"/>
    <w:rsid w:val="003817AF"/>
    <w:rsid w:val="003819CC"/>
    <w:rsid w:val="003865B9"/>
    <w:rsid w:val="003940B8"/>
    <w:rsid w:val="00397391"/>
    <w:rsid w:val="003A30AB"/>
    <w:rsid w:val="003A4375"/>
    <w:rsid w:val="003A4798"/>
    <w:rsid w:val="003A6640"/>
    <w:rsid w:val="003A70DB"/>
    <w:rsid w:val="003B13FD"/>
    <w:rsid w:val="003B2E42"/>
    <w:rsid w:val="003B2E4B"/>
    <w:rsid w:val="003B3857"/>
    <w:rsid w:val="003B5F3A"/>
    <w:rsid w:val="003B6207"/>
    <w:rsid w:val="003B6BAF"/>
    <w:rsid w:val="003C33B8"/>
    <w:rsid w:val="003C5080"/>
    <w:rsid w:val="003D1773"/>
    <w:rsid w:val="003D1D2F"/>
    <w:rsid w:val="003D4240"/>
    <w:rsid w:val="003D4E67"/>
    <w:rsid w:val="003E36CD"/>
    <w:rsid w:val="003E63BF"/>
    <w:rsid w:val="003E671A"/>
    <w:rsid w:val="003E68AD"/>
    <w:rsid w:val="003F05CA"/>
    <w:rsid w:val="003F44A9"/>
    <w:rsid w:val="003F7ABB"/>
    <w:rsid w:val="00402986"/>
    <w:rsid w:val="00402ABC"/>
    <w:rsid w:val="0040437A"/>
    <w:rsid w:val="00404D41"/>
    <w:rsid w:val="004064CE"/>
    <w:rsid w:val="00411613"/>
    <w:rsid w:val="0041761D"/>
    <w:rsid w:val="00422DB7"/>
    <w:rsid w:val="00430BC6"/>
    <w:rsid w:val="0043178B"/>
    <w:rsid w:val="00431946"/>
    <w:rsid w:val="00433181"/>
    <w:rsid w:val="0043566A"/>
    <w:rsid w:val="004364F8"/>
    <w:rsid w:val="00440EF0"/>
    <w:rsid w:val="00442863"/>
    <w:rsid w:val="0044587F"/>
    <w:rsid w:val="00445C88"/>
    <w:rsid w:val="00447E33"/>
    <w:rsid w:val="004502F8"/>
    <w:rsid w:val="00450965"/>
    <w:rsid w:val="00453B6C"/>
    <w:rsid w:val="00455041"/>
    <w:rsid w:val="00455C7C"/>
    <w:rsid w:val="004577DB"/>
    <w:rsid w:val="00464EC6"/>
    <w:rsid w:val="00471F58"/>
    <w:rsid w:val="00475673"/>
    <w:rsid w:val="00480706"/>
    <w:rsid w:val="00481E89"/>
    <w:rsid w:val="00487246"/>
    <w:rsid w:val="004A0585"/>
    <w:rsid w:val="004A0E17"/>
    <w:rsid w:val="004A6FCA"/>
    <w:rsid w:val="004B3FA4"/>
    <w:rsid w:val="004B46BE"/>
    <w:rsid w:val="004B6449"/>
    <w:rsid w:val="004C74AC"/>
    <w:rsid w:val="004C7FF7"/>
    <w:rsid w:val="004D2D7D"/>
    <w:rsid w:val="004D50A8"/>
    <w:rsid w:val="004E1AD7"/>
    <w:rsid w:val="004E366A"/>
    <w:rsid w:val="004E3E12"/>
    <w:rsid w:val="004E6029"/>
    <w:rsid w:val="004E751C"/>
    <w:rsid w:val="004E7CDB"/>
    <w:rsid w:val="004F204A"/>
    <w:rsid w:val="004F3EEF"/>
    <w:rsid w:val="004F6386"/>
    <w:rsid w:val="00502776"/>
    <w:rsid w:val="005035E0"/>
    <w:rsid w:val="00507267"/>
    <w:rsid w:val="00507D3E"/>
    <w:rsid w:val="005100A0"/>
    <w:rsid w:val="00510633"/>
    <w:rsid w:val="00510ED9"/>
    <w:rsid w:val="005118DA"/>
    <w:rsid w:val="00513F36"/>
    <w:rsid w:val="00514D5C"/>
    <w:rsid w:val="00521F60"/>
    <w:rsid w:val="005221AE"/>
    <w:rsid w:val="0052246A"/>
    <w:rsid w:val="00523B45"/>
    <w:rsid w:val="0053204E"/>
    <w:rsid w:val="00533B1D"/>
    <w:rsid w:val="005355DE"/>
    <w:rsid w:val="0053631A"/>
    <w:rsid w:val="005417D9"/>
    <w:rsid w:val="0054280C"/>
    <w:rsid w:val="00542C76"/>
    <w:rsid w:val="005644CF"/>
    <w:rsid w:val="00571F92"/>
    <w:rsid w:val="0057272B"/>
    <w:rsid w:val="00573016"/>
    <w:rsid w:val="00575EB3"/>
    <w:rsid w:val="00581C0A"/>
    <w:rsid w:val="0058469B"/>
    <w:rsid w:val="0059035F"/>
    <w:rsid w:val="0059186A"/>
    <w:rsid w:val="0059533C"/>
    <w:rsid w:val="005954FE"/>
    <w:rsid w:val="00597405"/>
    <w:rsid w:val="00597ADF"/>
    <w:rsid w:val="005A14BC"/>
    <w:rsid w:val="005A2AA4"/>
    <w:rsid w:val="005A6A48"/>
    <w:rsid w:val="005B0CF7"/>
    <w:rsid w:val="005B10DA"/>
    <w:rsid w:val="005B2EB3"/>
    <w:rsid w:val="005B4C0E"/>
    <w:rsid w:val="005B51BB"/>
    <w:rsid w:val="005B7F94"/>
    <w:rsid w:val="005C277A"/>
    <w:rsid w:val="005C36C5"/>
    <w:rsid w:val="005D3DF3"/>
    <w:rsid w:val="005D7804"/>
    <w:rsid w:val="005E17B1"/>
    <w:rsid w:val="005E1903"/>
    <w:rsid w:val="005E2DFC"/>
    <w:rsid w:val="005E2EF9"/>
    <w:rsid w:val="005E493B"/>
    <w:rsid w:val="005F04E9"/>
    <w:rsid w:val="005F0C2A"/>
    <w:rsid w:val="005F14D0"/>
    <w:rsid w:val="005F4EB7"/>
    <w:rsid w:val="005F5400"/>
    <w:rsid w:val="006003A7"/>
    <w:rsid w:val="00600DEB"/>
    <w:rsid w:val="00603DDE"/>
    <w:rsid w:val="00611F75"/>
    <w:rsid w:val="00612FF8"/>
    <w:rsid w:val="0061442B"/>
    <w:rsid w:val="00614B04"/>
    <w:rsid w:val="00614C53"/>
    <w:rsid w:val="00620A54"/>
    <w:rsid w:val="00621E26"/>
    <w:rsid w:val="00623C51"/>
    <w:rsid w:val="0062676B"/>
    <w:rsid w:val="00631123"/>
    <w:rsid w:val="006425DA"/>
    <w:rsid w:val="00643091"/>
    <w:rsid w:val="006436CA"/>
    <w:rsid w:val="00644CCB"/>
    <w:rsid w:val="00645027"/>
    <w:rsid w:val="00645F03"/>
    <w:rsid w:val="0065225A"/>
    <w:rsid w:val="0065460D"/>
    <w:rsid w:val="00655C77"/>
    <w:rsid w:val="00656703"/>
    <w:rsid w:val="00667C5C"/>
    <w:rsid w:val="006701F7"/>
    <w:rsid w:val="00673D24"/>
    <w:rsid w:val="00677FED"/>
    <w:rsid w:val="00682001"/>
    <w:rsid w:val="00682250"/>
    <w:rsid w:val="00683F7F"/>
    <w:rsid w:val="00686D39"/>
    <w:rsid w:val="0068786A"/>
    <w:rsid w:val="00690358"/>
    <w:rsid w:val="00690722"/>
    <w:rsid w:val="00692DB5"/>
    <w:rsid w:val="0069549F"/>
    <w:rsid w:val="006A2226"/>
    <w:rsid w:val="006A6A58"/>
    <w:rsid w:val="006A7E43"/>
    <w:rsid w:val="006A7EF7"/>
    <w:rsid w:val="006B169A"/>
    <w:rsid w:val="006B30CF"/>
    <w:rsid w:val="006B37DD"/>
    <w:rsid w:val="006B3D84"/>
    <w:rsid w:val="006B4A70"/>
    <w:rsid w:val="006B4BED"/>
    <w:rsid w:val="006B7B59"/>
    <w:rsid w:val="006C4A12"/>
    <w:rsid w:val="006C5164"/>
    <w:rsid w:val="006D1A5E"/>
    <w:rsid w:val="006D1C96"/>
    <w:rsid w:val="006D1FD6"/>
    <w:rsid w:val="006D3576"/>
    <w:rsid w:val="006D46FC"/>
    <w:rsid w:val="006D6320"/>
    <w:rsid w:val="006D6481"/>
    <w:rsid w:val="006E2813"/>
    <w:rsid w:val="006E4D2D"/>
    <w:rsid w:val="006E5D98"/>
    <w:rsid w:val="006E6489"/>
    <w:rsid w:val="006F0AF4"/>
    <w:rsid w:val="006F19A5"/>
    <w:rsid w:val="006F5F0A"/>
    <w:rsid w:val="006F7DAF"/>
    <w:rsid w:val="0070110E"/>
    <w:rsid w:val="007039E8"/>
    <w:rsid w:val="00707DE4"/>
    <w:rsid w:val="00713A5E"/>
    <w:rsid w:val="00714FFD"/>
    <w:rsid w:val="0071719B"/>
    <w:rsid w:val="00720D6B"/>
    <w:rsid w:val="00722696"/>
    <w:rsid w:val="00722E3E"/>
    <w:rsid w:val="00732EDE"/>
    <w:rsid w:val="007452F6"/>
    <w:rsid w:val="0075350F"/>
    <w:rsid w:val="007554EE"/>
    <w:rsid w:val="00757873"/>
    <w:rsid w:val="00763B68"/>
    <w:rsid w:val="00767DBB"/>
    <w:rsid w:val="007732DD"/>
    <w:rsid w:val="00773ADA"/>
    <w:rsid w:val="00773CA4"/>
    <w:rsid w:val="00773D77"/>
    <w:rsid w:val="007746A3"/>
    <w:rsid w:val="00781E88"/>
    <w:rsid w:val="00781F07"/>
    <w:rsid w:val="00782B58"/>
    <w:rsid w:val="00782E35"/>
    <w:rsid w:val="00783209"/>
    <w:rsid w:val="00784CBB"/>
    <w:rsid w:val="00787EF8"/>
    <w:rsid w:val="00790C6B"/>
    <w:rsid w:val="007923D0"/>
    <w:rsid w:val="00792BC5"/>
    <w:rsid w:val="0079306B"/>
    <w:rsid w:val="00795127"/>
    <w:rsid w:val="007A1669"/>
    <w:rsid w:val="007A1C15"/>
    <w:rsid w:val="007A2EEE"/>
    <w:rsid w:val="007A56D4"/>
    <w:rsid w:val="007A6784"/>
    <w:rsid w:val="007B0A8C"/>
    <w:rsid w:val="007B4892"/>
    <w:rsid w:val="007B52EC"/>
    <w:rsid w:val="007B6F18"/>
    <w:rsid w:val="007B6F26"/>
    <w:rsid w:val="007B78A3"/>
    <w:rsid w:val="007C1194"/>
    <w:rsid w:val="007C1335"/>
    <w:rsid w:val="007C2843"/>
    <w:rsid w:val="007C3F81"/>
    <w:rsid w:val="007C69E7"/>
    <w:rsid w:val="007C7357"/>
    <w:rsid w:val="007D0784"/>
    <w:rsid w:val="007D0CFE"/>
    <w:rsid w:val="007D14AE"/>
    <w:rsid w:val="007D30D9"/>
    <w:rsid w:val="007D3702"/>
    <w:rsid w:val="007E2E9C"/>
    <w:rsid w:val="007E3AFE"/>
    <w:rsid w:val="007E4DCC"/>
    <w:rsid w:val="007E511D"/>
    <w:rsid w:val="007E609C"/>
    <w:rsid w:val="007E78F8"/>
    <w:rsid w:val="007F31B0"/>
    <w:rsid w:val="007F3E25"/>
    <w:rsid w:val="007F754D"/>
    <w:rsid w:val="00801091"/>
    <w:rsid w:val="0080184A"/>
    <w:rsid w:val="00801E76"/>
    <w:rsid w:val="008025D0"/>
    <w:rsid w:val="0080321A"/>
    <w:rsid w:val="008039C4"/>
    <w:rsid w:val="00803B27"/>
    <w:rsid w:val="00805E8D"/>
    <w:rsid w:val="008076E7"/>
    <w:rsid w:val="00811049"/>
    <w:rsid w:val="008172C7"/>
    <w:rsid w:val="008247C7"/>
    <w:rsid w:val="00826A65"/>
    <w:rsid w:val="008314E9"/>
    <w:rsid w:val="00832AE1"/>
    <w:rsid w:val="00835C8F"/>
    <w:rsid w:val="0083638B"/>
    <w:rsid w:val="008376EB"/>
    <w:rsid w:val="00840E81"/>
    <w:rsid w:val="00841ABD"/>
    <w:rsid w:val="0084297C"/>
    <w:rsid w:val="0084319F"/>
    <w:rsid w:val="008443F5"/>
    <w:rsid w:val="00844454"/>
    <w:rsid w:val="008447DF"/>
    <w:rsid w:val="00860D07"/>
    <w:rsid w:val="008611EE"/>
    <w:rsid w:val="00866799"/>
    <w:rsid w:val="00872295"/>
    <w:rsid w:val="0088023D"/>
    <w:rsid w:val="00880A46"/>
    <w:rsid w:val="00880E3C"/>
    <w:rsid w:val="008828AA"/>
    <w:rsid w:val="00882BC2"/>
    <w:rsid w:val="00882ED1"/>
    <w:rsid w:val="00883498"/>
    <w:rsid w:val="00884CE6"/>
    <w:rsid w:val="00891420"/>
    <w:rsid w:val="0089246C"/>
    <w:rsid w:val="0089414C"/>
    <w:rsid w:val="008959BA"/>
    <w:rsid w:val="00896485"/>
    <w:rsid w:val="00897680"/>
    <w:rsid w:val="008A3A2E"/>
    <w:rsid w:val="008A7B95"/>
    <w:rsid w:val="008B098C"/>
    <w:rsid w:val="008B145B"/>
    <w:rsid w:val="008B2583"/>
    <w:rsid w:val="008B68CF"/>
    <w:rsid w:val="008C48E1"/>
    <w:rsid w:val="008C5F76"/>
    <w:rsid w:val="008C62F5"/>
    <w:rsid w:val="008D0C93"/>
    <w:rsid w:val="008D42FD"/>
    <w:rsid w:val="008D50DA"/>
    <w:rsid w:val="008D73A7"/>
    <w:rsid w:val="008E1B8A"/>
    <w:rsid w:val="008E6E72"/>
    <w:rsid w:val="008E73CE"/>
    <w:rsid w:val="008F063E"/>
    <w:rsid w:val="008F56F9"/>
    <w:rsid w:val="008F63A8"/>
    <w:rsid w:val="008F722E"/>
    <w:rsid w:val="009008B1"/>
    <w:rsid w:val="00902BB3"/>
    <w:rsid w:val="00904386"/>
    <w:rsid w:val="00906C33"/>
    <w:rsid w:val="009073AF"/>
    <w:rsid w:val="00913FBA"/>
    <w:rsid w:val="00916BE5"/>
    <w:rsid w:val="00917A1A"/>
    <w:rsid w:val="009214E3"/>
    <w:rsid w:val="00921ED2"/>
    <w:rsid w:val="009221E8"/>
    <w:rsid w:val="00923DB0"/>
    <w:rsid w:val="00931619"/>
    <w:rsid w:val="00933B4E"/>
    <w:rsid w:val="00934098"/>
    <w:rsid w:val="009377DD"/>
    <w:rsid w:val="00937C49"/>
    <w:rsid w:val="00942C28"/>
    <w:rsid w:val="009430CC"/>
    <w:rsid w:val="00944F8A"/>
    <w:rsid w:val="009464C2"/>
    <w:rsid w:val="00947230"/>
    <w:rsid w:val="0094759E"/>
    <w:rsid w:val="00947610"/>
    <w:rsid w:val="00950385"/>
    <w:rsid w:val="009533DF"/>
    <w:rsid w:val="00953CBA"/>
    <w:rsid w:val="00955AEE"/>
    <w:rsid w:val="0096025A"/>
    <w:rsid w:val="00960886"/>
    <w:rsid w:val="009627AD"/>
    <w:rsid w:val="00965B16"/>
    <w:rsid w:val="009662CA"/>
    <w:rsid w:val="00966D5A"/>
    <w:rsid w:val="00970808"/>
    <w:rsid w:val="0097328A"/>
    <w:rsid w:val="00974E93"/>
    <w:rsid w:val="009778F0"/>
    <w:rsid w:val="009818B4"/>
    <w:rsid w:val="00982A6D"/>
    <w:rsid w:val="00983CBD"/>
    <w:rsid w:val="0098532D"/>
    <w:rsid w:val="00985839"/>
    <w:rsid w:val="009865CB"/>
    <w:rsid w:val="00986E5B"/>
    <w:rsid w:val="00986EA4"/>
    <w:rsid w:val="0099227F"/>
    <w:rsid w:val="009A4908"/>
    <w:rsid w:val="009A51FB"/>
    <w:rsid w:val="009A7BBF"/>
    <w:rsid w:val="009B1300"/>
    <w:rsid w:val="009B378D"/>
    <w:rsid w:val="009B37E9"/>
    <w:rsid w:val="009B61A2"/>
    <w:rsid w:val="009C2A04"/>
    <w:rsid w:val="009C3FAC"/>
    <w:rsid w:val="009C42AD"/>
    <w:rsid w:val="009C63F5"/>
    <w:rsid w:val="009D0346"/>
    <w:rsid w:val="009D045B"/>
    <w:rsid w:val="009D0491"/>
    <w:rsid w:val="009D1445"/>
    <w:rsid w:val="009D265A"/>
    <w:rsid w:val="009D3DA0"/>
    <w:rsid w:val="009D6BBE"/>
    <w:rsid w:val="009E017E"/>
    <w:rsid w:val="009E0C28"/>
    <w:rsid w:val="009E3215"/>
    <w:rsid w:val="009E36E9"/>
    <w:rsid w:val="009E7E6D"/>
    <w:rsid w:val="009F206F"/>
    <w:rsid w:val="009F562B"/>
    <w:rsid w:val="009F67B7"/>
    <w:rsid w:val="009F6EE9"/>
    <w:rsid w:val="009F7005"/>
    <w:rsid w:val="00A00E67"/>
    <w:rsid w:val="00A00FC0"/>
    <w:rsid w:val="00A04942"/>
    <w:rsid w:val="00A10562"/>
    <w:rsid w:val="00A11DB0"/>
    <w:rsid w:val="00A12487"/>
    <w:rsid w:val="00A14869"/>
    <w:rsid w:val="00A14CBE"/>
    <w:rsid w:val="00A17D70"/>
    <w:rsid w:val="00A20F00"/>
    <w:rsid w:val="00A210BE"/>
    <w:rsid w:val="00A21F02"/>
    <w:rsid w:val="00A225F6"/>
    <w:rsid w:val="00A25686"/>
    <w:rsid w:val="00A25792"/>
    <w:rsid w:val="00A25E1A"/>
    <w:rsid w:val="00A34729"/>
    <w:rsid w:val="00A425BA"/>
    <w:rsid w:val="00A43922"/>
    <w:rsid w:val="00A4428E"/>
    <w:rsid w:val="00A44D93"/>
    <w:rsid w:val="00A46E5C"/>
    <w:rsid w:val="00A504BF"/>
    <w:rsid w:val="00A56191"/>
    <w:rsid w:val="00A60F2E"/>
    <w:rsid w:val="00A618F3"/>
    <w:rsid w:val="00A670EA"/>
    <w:rsid w:val="00A706D9"/>
    <w:rsid w:val="00A70757"/>
    <w:rsid w:val="00A71FFC"/>
    <w:rsid w:val="00A732C1"/>
    <w:rsid w:val="00A73F92"/>
    <w:rsid w:val="00A762BA"/>
    <w:rsid w:val="00A770E7"/>
    <w:rsid w:val="00A80408"/>
    <w:rsid w:val="00A87E38"/>
    <w:rsid w:val="00A90FBF"/>
    <w:rsid w:val="00A91E1F"/>
    <w:rsid w:val="00A92296"/>
    <w:rsid w:val="00A9330C"/>
    <w:rsid w:val="00A93DF7"/>
    <w:rsid w:val="00A9444B"/>
    <w:rsid w:val="00A96B80"/>
    <w:rsid w:val="00A9702B"/>
    <w:rsid w:val="00AA5F80"/>
    <w:rsid w:val="00AA6036"/>
    <w:rsid w:val="00AB1032"/>
    <w:rsid w:val="00AB461D"/>
    <w:rsid w:val="00AB5531"/>
    <w:rsid w:val="00AB5C8B"/>
    <w:rsid w:val="00AB6302"/>
    <w:rsid w:val="00AB6D17"/>
    <w:rsid w:val="00AC02E2"/>
    <w:rsid w:val="00AC59BD"/>
    <w:rsid w:val="00AD0FF6"/>
    <w:rsid w:val="00AD14A2"/>
    <w:rsid w:val="00AD3480"/>
    <w:rsid w:val="00AD388C"/>
    <w:rsid w:val="00AD513D"/>
    <w:rsid w:val="00AD5EB6"/>
    <w:rsid w:val="00AD6065"/>
    <w:rsid w:val="00AD67BC"/>
    <w:rsid w:val="00AD6A30"/>
    <w:rsid w:val="00AD79DD"/>
    <w:rsid w:val="00AE0369"/>
    <w:rsid w:val="00AE2C8A"/>
    <w:rsid w:val="00AE3038"/>
    <w:rsid w:val="00AE5073"/>
    <w:rsid w:val="00AF1BC4"/>
    <w:rsid w:val="00AF3FEA"/>
    <w:rsid w:val="00AF4B84"/>
    <w:rsid w:val="00AF5274"/>
    <w:rsid w:val="00AF5498"/>
    <w:rsid w:val="00B006C3"/>
    <w:rsid w:val="00B0188A"/>
    <w:rsid w:val="00B03B7B"/>
    <w:rsid w:val="00B11CF1"/>
    <w:rsid w:val="00B11FAB"/>
    <w:rsid w:val="00B1307F"/>
    <w:rsid w:val="00B14A85"/>
    <w:rsid w:val="00B21C45"/>
    <w:rsid w:val="00B2397A"/>
    <w:rsid w:val="00B23F89"/>
    <w:rsid w:val="00B24280"/>
    <w:rsid w:val="00B275BB"/>
    <w:rsid w:val="00B27E0D"/>
    <w:rsid w:val="00B31404"/>
    <w:rsid w:val="00B336F5"/>
    <w:rsid w:val="00B33947"/>
    <w:rsid w:val="00B411F1"/>
    <w:rsid w:val="00B42B5E"/>
    <w:rsid w:val="00B45535"/>
    <w:rsid w:val="00B4585A"/>
    <w:rsid w:val="00B47FC1"/>
    <w:rsid w:val="00B5122B"/>
    <w:rsid w:val="00B51B10"/>
    <w:rsid w:val="00B55DE7"/>
    <w:rsid w:val="00B566CE"/>
    <w:rsid w:val="00B57518"/>
    <w:rsid w:val="00B5778A"/>
    <w:rsid w:val="00B57EF2"/>
    <w:rsid w:val="00B60A4E"/>
    <w:rsid w:val="00B626A2"/>
    <w:rsid w:val="00B64C2C"/>
    <w:rsid w:val="00B703F1"/>
    <w:rsid w:val="00B70E08"/>
    <w:rsid w:val="00B8089C"/>
    <w:rsid w:val="00B8182A"/>
    <w:rsid w:val="00B8274E"/>
    <w:rsid w:val="00B83DE6"/>
    <w:rsid w:val="00B85DFE"/>
    <w:rsid w:val="00B862D1"/>
    <w:rsid w:val="00B87995"/>
    <w:rsid w:val="00B913B6"/>
    <w:rsid w:val="00B937B1"/>
    <w:rsid w:val="00BA1085"/>
    <w:rsid w:val="00BA1712"/>
    <w:rsid w:val="00BA4D75"/>
    <w:rsid w:val="00BA5339"/>
    <w:rsid w:val="00BA6559"/>
    <w:rsid w:val="00BB1CEB"/>
    <w:rsid w:val="00BB2937"/>
    <w:rsid w:val="00BB2CB8"/>
    <w:rsid w:val="00BB3BAC"/>
    <w:rsid w:val="00BB422E"/>
    <w:rsid w:val="00BB4493"/>
    <w:rsid w:val="00BB505E"/>
    <w:rsid w:val="00BC02AF"/>
    <w:rsid w:val="00BC3260"/>
    <w:rsid w:val="00BD7488"/>
    <w:rsid w:val="00BE148A"/>
    <w:rsid w:val="00BE3C1B"/>
    <w:rsid w:val="00BE5AE3"/>
    <w:rsid w:val="00BE7006"/>
    <w:rsid w:val="00BF2617"/>
    <w:rsid w:val="00BF64E8"/>
    <w:rsid w:val="00C00CB2"/>
    <w:rsid w:val="00C01112"/>
    <w:rsid w:val="00C01AEF"/>
    <w:rsid w:val="00C02AFC"/>
    <w:rsid w:val="00C03142"/>
    <w:rsid w:val="00C05F71"/>
    <w:rsid w:val="00C106CD"/>
    <w:rsid w:val="00C1197F"/>
    <w:rsid w:val="00C13868"/>
    <w:rsid w:val="00C17CD1"/>
    <w:rsid w:val="00C2019E"/>
    <w:rsid w:val="00C235D2"/>
    <w:rsid w:val="00C24091"/>
    <w:rsid w:val="00C24313"/>
    <w:rsid w:val="00C372B5"/>
    <w:rsid w:val="00C43A28"/>
    <w:rsid w:val="00C4409C"/>
    <w:rsid w:val="00C5376C"/>
    <w:rsid w:val="00C5520B"/>
    <w:rsid w:val="00C567B5"/>
    <w:rsid w:val="00C6251C"/>
    <w:rsid w:val="00C64B41"/>
    <w:rsid w:val="00C747F7"/>
    <w:rsid w:val="00C77DBC"/>
    <w:rsid w:val="00C84E1C"/>
    <w:rsid w:val="00C90417"/>
    <w:rsid w:val="00C92572"/>
    <w:rsid w:val="00C961A3"/>
    <w:rsid w:val="00CA5CFB"/>
    <w:rsid w:val="00CB1AAB"/>
    <w:rsid w:val="00CB2D2F"/>
    <w:rsid w:val="00CC2AE0"/>
    <w:rsid w:val="00CC4132"/>
    <w:rsid w:val="00CC4B27"/>
    <w:rsid w:val="00CC663B"/>
    <w:rsid w:val="00CD7C5E"/>
    <w:rsid w:val="00CE03C8"/>
    <w:rsid w:val="00CE2D56"/>
    <w:rsid w:val="00CE30BD"/>
    <w:rsid w:val="00CE3C0F"/>
    <w:rsid w:val="00CE6502"/>
    <w:rsid w:val="00CE7D03"/>
    <w:rsid w:val="00CF1B5A"/>
    <w:rsid w:val="00CF36D6"/>
    <w:rsid w:val="00CF3DBC"/>
    <w:rsid w:val="00CF401A"/>
    <w:rsid w:val="00D00887"/>
    <w:rsid w:val="00D00F92"/>
    <w:rsid w:val="00D07906"/>
    <w:rsid w:val="00D1154D"/>
    <w:rsid w:val="00D12E47"/>
    <w:rsid w:val="00D14977"/>
    <w:rsid w:val="00D17C8F"/>
    <w:rsid w:val="00D2090C"/>
    <w:rsid w:val="00D20E10"/>
    <w:rsid w:val="00D22418"/>
    <w:rsid w:val="00D2542E"/>
    <w:rsid w:val="00D2680B"/>
    <w:rsid w:val="00D2698F"/>
    <w:rsid w:val="00D343EE"/>
    <w:rsid w:val="00D35598"/>
    <w:rsid w:val="00D37C91"/>
    <w:rsid w:val="00D417D0"/>
    <w:rsid w:val="00D430CE"/>
    <w:rsid w:val="00D50307"/>
    <w:rsid w:val="00D539AD"/>
    <w:rsid w:val="00D547FA"/>
    <w:rsid w:val="00D5689A"/>
    <w:rsid w:val="00D56A2D"/>
    <w:rsid w:val="00D7229A"/>
    <w:rsid w:val="00D72918"/>
    <w:rsid w:val="00D7362E"/>
    <w:rsid w:val="00D74A57"/>
    <w:rsid w:val="00D74B12"/>
    <w:rsid w:val="00D7577E"/>
    <w:rsid w:val="00D75F08"/>
    <w:rsid w:val="00D77CA8"/>
    <w:rsid w:val="00D8110B"/>
    <w:rsid w:val="00D840EB"/>
    <w:rsid w:val="00D849AD"/>
    <w:rsid w:val="00D84FFF"/>
    <w:rsid w:val="00D86D72"/>
    <w:rsid w:val="00D90977"/>
    <w:rsid w:val="00D91399"/>
    <w:rsid w:val="00D95F08"/>
    <w:rsid w:val="00DA069E"/>
    <w:rsid w:val="00DA310F"/>
    <w:rsid w:val="00DA3338"/>
    <w:rsid w:val="00DA6123"/>
    <w:rsid w:val="00DB0902"/>
    <w:rsid w:val="00DB2697"/>
    <w:rsid w:val="00DB4112"/>
    <w:rsid w:val="00DB6EA1"/>
    <w:rsid w:val="00DC362B"/>
    <w:rsid w:val="00DC45B5"/>
    <w:rsid w:val="00DC5741"/>
    <w:rsid w:val="00DC7044"/>
    <w:rsid w:val="00DD28C1"/>
    <w:rsid w:val="00DD3646"/>
    <w:rsid w:val="00DD4520"/>
    <w:rsid w:val="00DD48D1"/>
    <w:rsid w:val="00DD5528"/>
    <w:rsid w:val="00DD7EDA"/>
    <w:rsid w:val="00DF2816"/>
    <w:rsid w:val="00DF29BE"/>
    <w:rsid w:val="00E00FBE"/>
    <w:rsid w:val="00E01666"/>
    <w:rsid w:val="00E01DEC"/>
    <w:rsid w:val="00E03939"/>
    <w:rsid w:val="00E03ADE"/>
    <w:rsid w:val="00E03EEE"/>
    <w:rsid w:val="00E05667"/>
    <w:rsid w:val="00E14F2D"/>
    <w:rsid w:val="00E1657E"/>
    <w:rsid w:val="00E21A7F"/>
    <w:rsid w:val="00E25135"/>
    <w:rsid w:val="00E25F2E"/>
    <w:rsid w:val="00E27066"/>
    <w:rsid w:val="00E30D54"/>
    <w:rsid w:val="00E31561"/>
    <w:rsid w:val="00E32858"/>
    <w:rsid w:val="00E340F4"/>
    <w:rsid w:val="00E35574"/>
    <w:rsid w:val="00E3560C"/>
    <w:rsid w:val="00E373D3"/>
    <w:rsid w:val="00E43E48"/>
    <w:rsid w:val="00E4415C"/>
    <w:rsid w:val="00E47002"/>
    <w:rsid w:val="00E51033"/>
    <w:rsid w:val="00E53AC6"/>
    <w:rsid w:val="00E5479A"/>
    <w:rsid w:val="00E611F8"/>
    <w:rsid w:val="00E61C0C"/>
    <w:rsid w:val="00E637BB"/>
    <w:rsid w:val="00E64541"/>
    <w:rsid w:val="00E64F82"/>
    <w:rsid w:val="00E72561"/>
    <w:rsid w:val="00E74D3B"/>
    <w:rsid w:val="00E86AAF"/>
    <w:rsid w:val="00E93120"/>
    <w:rsid w:val="00E93728"/>
    <w:rsid w:val="00E9465F"/>
    <w:rsid w:val="00E9658B"/>
    <w:rsid w:val="00EA0A9E"/>
    <w:rsid w:val="00EA1517"/>
    <w:rsid w:val="00EA5005"/>
    <w:rsid w:val="00EA6FEF"/>
    <w:rsid w:val="00EA7884"/>
    <w:rsid w:val="00EA7D53"/>
    <w:rsid w:val="00EB4A92"/>
    <w:rsid w:val="00EB4A9B"/>
    <w:rsid w:val="00EB6E0A"/>
    <w:rsid w:val="00EB7AF6"/>
    <w:rsid w:val="00EC0CFE"/>
    <w:rsid w:val="00EC4E39"/>
    <w:rsid w:val="00EC6049"/>
    <w:rsid w:val="00ED5733"/>
    <w:rsid w:val="00ED6343"/>
    <w:rsid w:val="00ED653C"/>
    <w:rsid w:val="00ED69C2"/>
    <w:rsid w:val="00ED7C67"/>
    <w:rsid w:val="00EE0352"/>
    <w:rsid w:val="00EE0E41"/>
    <w:rsid w:val="00EE45B7"/>
    <w:rsid w:val="00EE554B"/>
    <w:rsid w:val="00EE7C98"/>
    <w:rsid w:val="00EF64B4"/>
    <w:rsid w:val="00EF7C84"/>
    <w:rsid w:val="00EF7FF1"/>
    <w:rsid w:val="00F01F01"/>
    <w:rsid w:val="00F05032"/>
    <w:rsid w:val="00F10F3B"/>
    <w:rsid w:val="00F13ACF"/>
    <w:rsid w:val="00F22A0B"/>
    <w:rsid w:val="00F246AC"/>
    <w:rsid w:val="00F25EA8"/>
    <w:rsid w:val="00F27FE5"/>
    <w:rsid w:val="00F36976"/>
    <w:rsid w:val="00F4086D"/>
    <w:rsid w:val="00F409F1"/>
    <w:rsid w:val="00F41E3A"/>
    <w:rsid w:val="00F424E5"/>
    <w:rsid w:val="00F43EFF"/>
    <w:rsid w:val="00F44D71"/>
    <w:rsid w:val="00F464AB"/>
    <w:rsid w:val="00F46BBF"/>
    <w:rsid w:val="00F50FAD"/>
    <w:rsid w:val="00F52A6E"/>
    <w:rsid w:val="00F64B64"/>
    <w:rsid w:val="00F65121"/>
    <w:rsid w:val="00F705C5"/>
    <w:rsid w:val="00F73788"/>
    <w:rsid w:val="00F75573"/>
    <w:rsid w:val="00F7760F"/>
    <w:rsid w:val="00F802A2"/>
    <w:rsid w:val="00F810D2"/>
    <w:rsid w:val="00F817DF"/>
    <w:rsid w:val="00F9108A"/>
    <w:rsid w:val="00F93176"/>
    <w:rsid w:val="00F93988"/>
    <w:rsid w:val="00FA5FA6"/>
    <w:rsid w:val="00FA63CB"/>
    <w:rsid w:val="00FB1C0B"/>
    <w:rsid w:val="00FB1C3D"/>
    <w:rsid w:val="00FC67FA"/>
    <w:rsid w:val="00FD095D"/>
    <w:rsid w:val="00FD174F"/>
    <w:rsid w:val="00FD2A6E"/>
    <w:rsid w:val="00FD5F5A"/>
    <w:rsid w:val="00FE283D"/>
    <w:rsid w:val="00FE466A"/>
    <w:rsid w:val="00FE573E"/>
    <w:rsid w:val="00FE5794"/>
    <w:rsid w:val="00FE5CA9"/>
    <w:rsid w:val="00FF15CC"/>
    <w:rsid w:val="00FF25C2"/>
    <w:rsid w:val="00FF2723"/>
    <w:rsid w:val="00FF32CE"/>
    <w:rsid w:val="00FF3D63"/>
    <w:rsid w:val="00FF42BA"/>
    <w:rsid w:val="00FF711C"/>
    <w:rsid w:val="00FF75D0"/>
    <w:rsid w:val="00FF7D3A"/>
    <w:rsid w:val="024EBA30"/>
    <w:rsid w:val="129A01EB"/>
    <w:rsid w:val="16E656DD"/>
    <w:rsid w:val="1B1FB569"/>
    <w:rsid w:val="204764B3"/>
    <w:rsid w:val="27B8DC92"/>
    <w:rsid w:val="2BE0251F"/>
    <w:rsid w:val="36D6888A"/>
    <w:rsid w:val="45BE0566"/>
    <w:rsid w:val="4951BB1D"/>
    <w:rsid w:val="49826033"/>
    <w:rsid w:val="64BFB284"/>
    <w:rsid w:val="66CC38E0"/>
    <w:rsid w:val="6D8BAD29"/>
    <w:rsid w:val="7671A978"/>
    <w:rsid w:val="787CA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277D5"/>
  <w15:docId w15:val="{00862821-FEE1-4CE2-94F1-38903DC3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rsid w:val="00523B45"/>
    <w:pPr>
      <w:keepNext/>
      <w:numPr>
        <w:numId w:val="1"/>
      </w:numPr>
      <w:spacing w:after="120"/>
      <w:outlineLvl w:val="0"/>
    </w:pPr>
    <w:rPr>
      <w:rFonts w:ascii="Arial Bold" w:hAnsi="Arial Bold" w:cs="Arial"/>
      <w:b/>
      <w:bCs/>
      <w:kern w:val="32"/>
      <w:sz w:val="24"/>
      <w:szCs w:val="32"/>
    </w:rPr>
  </w:style>
  <w:style w:type="paragraph" w:styleId="Heading2">
    <w:name w:val="heading 2"/>
    <w:basedOn w:val="Normal"/>
    <w:next w:val="Normal"/>
    <w:qFormat/>
    <w:rsid w:val="00523B45"/>
    <w:pPr>
      <w:keepNext/>
      <w:numPr>
        <w:ilvl w:val="1"/>
        <w:numId w:val="1"/>
      </w:numPr>
      <w:spacing w:after="120"/>
      <w:outlineLvl w:val="1"/>
    </w:pPr>
    <w:rPr>
      <w:rFonts w:ascii="Arial Bold" w:hAnsi="Arial Bold" w:cs="Arial"/>
      <w:b/>
      <w:bCs/>
      <w:iCs/>
      <w:szCs w:val="28"/>
    </w:rPr>
  </w:style>
  <w:style w:type="paragraph" w:styleId="Heading3">
    <w:name w:val="heading 3"/>
    <w:basedOn w:val="Normal"/>
    <w:next w:val="Normal"/>
    <w:qFormat/>
    <w:rsid w:val="00523B45"/>
    <w:pPr>
      <w:keepNext/>
      <w:numPr>
        <w:ilvl w:val="2"/>
        <w:numId w:val="1"/>
      </w:numPr>
      <w:spacing w:after="120"/>
      <w:ind w:left="0" w:firstLine="0"/>
      <w:outlineLvl w:val="2"/>
    </w:pPr>
    <w:rPr>
      <w:rFonts w:ascii="Arial Bold" w:hAnsi="Arial Bold" w:cs="Arial"/>
      <w:b/>
      <w:bCs/>
      <w:szCs w:val="26"/>
    </w:rPr>
  </w:style>
  <w:style w:type="paragraph" w:styleId="Heading6">
    <w:name w:val="heading 6"/>
    <w:basedOn w:val="Normal"/>
    <w:next w:val="Normal"/>
    <w:qFormat/>
    <w:rsid w:val="008D0C93"/>
    <w:pPr>
      <w:spacing w:before="240" w:after="60"/>
      <w:outlineLvl w:val="5"/>
    </w:pPr>
    <w:rPr>
      <w:rFonts w:ascii="Times New Roman" w:hAnsi="Times New Roman"/>
      <w:b/>
      <w:bCs/>
      <w:szCs w:val="22"/>
    </w:rPr>
  </w:style>
  <w:style w:type="paragraph" w:styleId="Heading8">
    <w:name w:val="heading 8"/>
    <w:basedOn w:val="Normal"/>
    <w:next w:val="Normal"/>
    <w:qFormat/>
    <w:rsid w:val="00A14CBE"/>
    <w:pPr>
      <w:spacing w:before="240" w:after="60"/>
      <w:outlineLvl w:val="7"/>
    </w:pPr>
    <w:rPr>
      <w:rFonts w:ascii="Times New Roman" w:hAnsi="Times New Roman"/>
      <w:i/>
      <w:iCs/>
      <w:sz w:val="24"/>
      <w:szCs w:val="24"/>
    </w:rPr>
  </w:style>
  <w:style w:type="paragraph" w:styleId="Heading9">
    <w:name w:val="heading 9"/>
    <w:basedOn w:val="Normal"/>
    <w:next w:val="Normal"/>
    <w:qFormat/>
    <w:rsid w:val="00A14CB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5F03"/>
    <w:pPr>
      <w:spacing w:after="120"/>
    </w:pPr>
  </w:style>
  <w:style w:type="table" w:styleId="TableGrid">
    <w:name w:val="Table Grid"/>
    <w:basedOn w:val="TableNormal"/>
    <w:uiPriority w:val="39"/>
    <w:rsid w:val="00690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C3AC9"/>
    <w:pPr>
      <w:spacing w:after="120"/>
    </w:pPr>
    <w:rPr>
      <w:color w:val="0000FF"/>
      <w:sz w:val="20"/>
    </w:rPr>
  </w:style>
  <w:style w:type="paragraph" w:styleId="Header">
    <w:name w:val="header"/>
    <w:basedOn w:val="Normal"/>
    <w:rsid w:val="005E493B"/>
    <w:pPr>
      <w:tabs>
        <w:tab w:val="center" w:pos="4153"/>
        <w:tab w:val="right" w:pos="8306"/>
      </w:tabs>
    </w:pPr>
  </w:style>
  <w:style w:type="paragraph" w:styleId="Footer">
    <w:name w:val="footer"/>
    <w:basedOn w:val="Normal"/>
    <w:rsid w:val="005E493B"/>
    <w:pPr>
      <w:tabs>
        <w:tab w:val="center" w:pos="4153"/>
        <w:tab w:val="right" w:pos="8306"/>
      </w:tabs>
    </w:pPr>
  </w:style>
  <w:style w:type="character" w:styleId="PageNumber">
    <w:name w:val="page number"/>
    <w:basedOn w:val="DefaultParagraphFont"/>
    <w:rsid w:val="005E493B"/>
  </w:style>
  <w:style w:type="character" w:styleId="Hyperlink">
    <w:name w:val="Hyperlink"/>
    <w:rsid w:val="00C01112"/>
    <w:rPr>
      <w:color w:val="0000FF"/>
      <w:u w:val="single"/>
    </w:rPr>
  </w:style>
  <w:style w:type="character" w:styleId="CommentReference">
    <w:name w:val="annotation reference"/>
    <w:semiHidden/>
    <w:rsid w:val="008D0C93"/>
    <w:rPr>
      <w:sz w:val="16"/>
    </w:rPr>
  </w:style>
  <w:style w:type="paragraph" w:styleId="CommentText">
    <w:name w:val="annotation text"/>
    <w:basedOn w:val="Normal"/>
    <w:link w:val="CommentTextChar"/>
    <w:semiHidden/>
    <w:rsid w:val="008D0C93"/>
    <w:pPr>
      <w:spacing w:before="240" w:after="120"/>
    </w:pPr>
    <w:rPr>
      <w:sz w:val="20"/>
      <w:lang w:eastAsia="en-US"/>
    </w:rPr>
  </w:style>
  <w:style w:type="paragraph" w:styleId="BalloonText">
    <w:name w:val="Balloon Text"/>
    <w:basedOn w:val="Normal"/>
    <w:semiHidden/>
    <w:rsid w:val="008D0C93"/>
    <w:rPr>
      <w:rFonts w:ascii="Tahoma" w:hAnsi="Tahoma" w:cs="Tahoma"/>
      <w:sz w:val="16"/>
      <w:szCs w:val="16"/>
    </w:rPr>
  </w:style>
  <w:style w:type="paragraph" w:customStyle="1" w:styleId="Blockquote">
    <w:name w:val="Blockquote"/>
    <w:basedOn w:val="Normal"/>
    <w:rsid w:val="00210DD7"/>
    <w:pPr>
      <w:spacing w:before="100" w:after="100"/>
      <w:ind w:left="360" w:right="360"/>
    </w:pPr>
    <w:rPr>
      <w:i/>
      <w:snapToGrid w:val="0"/>
      <w:lang w:eastAsia="en-US"/>
    </w:rPr>
  </w:style>
  <w:style w:type="paragraph" w:styleId="ListBullet2">
    <w:name w:val="List Bullet 2"/>
    <w:basedOn w:val="Normal"/>
    <w:rsid w:val="00767DBB"/>
    <w:pPr>
      <w:numPr>
        <w:numId w:val="7"/>
      </w:numPr>
    </w:pPr>
  </w:style>
  <w:style w:type="character" w:customStyle="1" w:styleId="BodyText2Char">
    <w:name w:val="Body Text 2 Char"/>
    <w:link w:val="BodyText2"/>
    <w:rsid w:val="00A14CBE"/>
    <w:rPr>
      <w:rFonts w:ascii="Arial" w:hAnsi="Arial"/>
      <w:color w:val="0000FF"/>
      <w:lang w:val="en-GB" w:eastAsia="en-GB" w:bidi="ar-SA"/>
    </w:rPr>
  </w:style>
  <w:style w:type="numbering" w:styleId="111111">
    <w:name w:val="Outline List 2"/>
    <w:basedOn w:val="NoList"/>
    <w:rsid w:val="006F0AF4"/>
    <w:pPr>
      <w:numPr>
        <w:numId w:val="19"/>
      </w:numPr>
    </w:pPr>
  </w:style>
  <w:style w:type="character" w:customStyle="1" w:styleId="CommentTextChar">
    <w:name w:val="Comment Text Char"/>
    <w:basedOn w:val="DefaultParagraphFont"/>
    <w:link w:val="CommentText"/>
    <w:semiHidden/>
    <w:rsid w:val="008C5F76"/>
    <w:rPr>
      <w:rFonts w:ascii="Arial" w:hAnsi="Arial"/>
      <w:lang w:eastAsia="en-US"/>
    </w:rPr>
  </w:style>
  <w:style w:type="paragraph" w:styleId="CommentSubject">
    <w:name w:val="annotation subject"/>
    <w:basedOn w:val="CommentText"/>
    <w:next w:val="CommentText"/>
    <w:link w:val="CommentSubjectChar"/>
    <w:semiHidden/>
    <w:unhideWhenUsed/>
    <w:rsid w:val="006B169A"/>
    <w:pPr>
      <w:spacing w:before="0" w:after="0"/>
    </w:pPr>
    <w:rPr>
      <w:b/>
      <w:bCs/>
      <w:lang w:eastAsia="en-GB"/>
    </w:rPr>
  </w:style>
  <w:style w:type="character" w:customStyle="1" w:styleId="CommentSubjectChar">
    <w:name w:val="Comment Subject Char"/>
    <w:basedOn w:val="CommentTextChar"/>
    <w:link w:val="CommentSubject"/>
    <w:semiHidden/>
    <w:rsid w:val="006B169A"/>
    <w:rPr>
      <w:rFonts w:ascii="Arial" w:hAnsi="Arial"/>
      <w:b/>
      <w:bCs/>
      <w:lang w:eastAsia="en-US"/>
    </w:rPr>
  </w:style>
  <w:style w:type="paragraph" w:customStyle="1" w:styleId="TableText">
    <w:name w:val="Table Text"/>
    <w:basedOn w:val="Normal"/>
    <w:rsid w:val="00B937B1"/>
    <w:pPr>
      <w:spacing w:before="60" w:after="60"/>
    </w:pPr>
    <w:rPr>
      <w:sz w:val="20"/>
    </w:rPr>
  </w:style>
  <w:style w:type="paragraph" w:styleId="ListParagraph">
    <w:name w:val="List Paragraph"/>
    <w:aliases w:val="Dot pt,No Spacing1,List Paragraph Char Char Char,Indicator Text,List Paragraph1,Numbered Para 1,Bullet 1,List Paragraph12,Bullet Points,Bullet Style,F5 List Paragraph,MAIN CONTENT,List Paragraph11,OBC Bullet,Colorful List - Accent 11"/>
    <w:basedOn w:val="Normal"/>
    <w:link w:val="ListParagraphChar"/>
    <w:uiPriority w:val="34"/>
    <w:qFormat/>
    <w:rsid w:val="00E01DEC"/>
    <w:pPr>
      <w:ind w:left="720"/>
      <w:contextualSpacing/>
    </w:pPr>
  </w:style>
  <w:style w:type="character" w:styleId="FollowedHyperlink">
    <w:name w:val="FollowedHyperlink"/>
    <w:basedOn w:val="DefaultParagraphFont"/>
    <w:semiHidden/>
    <w:unhideWhenUsed/>
    <w:rsid w:val="00D90977"/>
    <w:rPr>
      <w:color w:val="800080" w:themeColor="followedHyperlink"/>
      <w:u w:val="single"/>
    </w:rPr>
  </w:style>
  <w:style w:type="paragraph" w:styleId="BodyTextFirstIndent">
    <w:name w:val="Body Text First Indent"/>
    <w:basedOn w:val="BodyText"/>
    <w:link w:val="BodyTextFirstIndentChar"/>
    <w:rsid w:val="009430CC"/>
    <w:pPr>
      <w:spacing w:after="0"/>
      <w:ind w:firstLine="360"/>
    </w:pPr>
  </w:style>
  <w:style w:type="character" w:customStyle="1" w:styleId="BodyTextChar">
    <w:name w:val="Body Text Char"/>
    <w:basedOn w:val="DefaultParagraphFont"/>
    <w:link w:val="BodyText"/>
    <w:rsid w:val="009430CC"/>
    <w:rPr>
      <w:rFonts w:ascii="Arial" w:hAnsi="Arial"/>
      <w:sz w:val="22"/>
    </w:rPr>
  </w:style>
  <w:style w:type="character" w:customStyle="1" w:styleId="BodyTextFirstIndentChar">
    <w:name w:val="Body Text First Indent Char"/>
    <w:basedOn w:val="BodyTextChar"/>
    <w:link w:val="BodyTextFirstIndent"/>
    <w:rsid w:val="009430CC"/>
    <w:rPr>
      <w:rFonts w:ascii="Arial" w:hAnsi="Arial"/>
      <w:sz w:val="22"/>
    </w:rPr>
  </w:style>
  <w:style w:type="character" w:styleId="UnresolvedMention">
    <w:name w:val="Unresolved Mention"/>
    <w:basedOn w:val="DefaultParagraphFont"/>
    <w:uiPriority w:val="99"/>
    <w:semiHidden/>
    <w:unhideWhenUsed/>
    <w:rsid w:val="00F52A6E"/>
    <w:rPr>
      <w:color w:val="605E5C"/>
      <w:shd w:val="clear" w:color="auto" w:fill="E1DFDD"/>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
    <w:link w:val="ListParagraph"/>
    <w:uiPriority w:val="34"/>
    <w:qFormat/>
    <w:locked/>
    <w:rsid w:val="00A770E7"/>
    <w:rPr>
      <w:rFonts w:ascii="Arial" w:hAnsi="Arial"/>
      <w:sz w:val="22"/>
    </w:rPr>
  </w:style>
  <w:style w:type="paragraph" w:styleId="ListBullet">
    <w:name w:val="List Bullet"/>
    <w:basedOn w:val="Normal"/>
    <w:unhideWhenUsed/>
    <w:rsid w:val="00AA6036"/>
    <w:pPr>
      <w:numPr>
        <w:numId w:val="26"/>
      </w:numPr>
      <w:contextualSpacing/>
    </w:pPr>
  </w:style>
  <w:style w:type="paragraph" w:styleId="Revision">
    <w:name w:val="Revision"/>
    <w:hidden/>
    <w:uiPriority w:val="99"/>
    <w:semiHidden/>
    <w:rsid w:val="00811049"/>
    <w:rPr>
      <w:rFonts w:ascii="Arial" w:hAnsi="Arial"/>
      <w:sz w:val="22"/>
    </w:rPr>
  </w:style>
  <w:style w:type="character" w:styleId="Strong">
    <w:name w:val="Strong"/>
    <w:basedOn w:val="DefaultParagraphFont"/>
    <w:uiPriority w:val="22"/>
    <w:qFormat/>
    <w:rsid w:val="00921E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09">
      <w:bodyDiv w:val="1"/>
      <w:marLeft w:val="0"/>
      <w:marRight w:val="0"/>
      <w:marTop w:val="0"/>
      <w:marBottom w:val="0"/>
      <w:divBdr>
        <w:top w:val="none" w:sz="0" w:space="0" w:color="auto"/>
        <w:left w:val="none" w:sz="0" w:space="0" w:color="auto"/>
        <w:bottom w:val="none" w:sz="0" w:space="0" w:color="auto"/>
        <w:right w:val="none" w:sz="0" w:space="0" w:color="auto"/>
      </w:divBdr>
      <w:divsChild>
        <w:div w:id="475756612">
          <w:marLeft w:val="0"/>
          <w:marRight w:val="0"/>
          <w:marTop w:val="0"/>
          <w:marBottom w:val="0"/>
          <w:divBdr>
            <w:top w:val="none" w:sz="0" w:space="0" w:color="auto"/>
            <w:left w:val="none" w:sz="0" w:space="0" w:color="auto"/>
            <w:bottom w:val="none" w:sz="0" w:space="0" w:color="auto"/>
            <w:right w:val="none" w:sz="0" w:space="0" w:color="auto"/>
          </w:divBdr>
          <w:divsChild>
            <w:div w:id="1723479985">
              <w:marLeft w:val="0"/>
              <w:marRight w:val="0"/>
              <w:marTop w:val="0"/>
              <w:marBottom w:val="0"/>
              <w:divBdr>
                <w:top w:val="none" w:sz="0" w:space="0" w:color="auto"/>
                <w:left w:val="none" w:sz="0" w:space="0" w:color="auto"/>
                <w:bottom w:val="none" w:sz="0" w:space="0" w:color="auto"/>
                <w:right w:val="none" w:sz="0" w:space="0" w:color="auto"/>
              </w:divBdr>
              <w:divsChild>
                <w:div w:id="160201205">
                  <w:marLeft w:val="0"/>
                  <w:marRight w:val="0"/>
                  <w:marTop w:val="0"/>
                  <w:marBottom w:val="0"/>
                  <w:divBdr>
                    <w:top w:val="none" w:sz="0" w:space="0" w:color="auto"/>
                    <w:left w:val="none" w:sz="0" w:space="0" w:color="auto"/>
                    <w:bottom w:val="none" w:sz="0" w:space="0" w:color="auto"/>
                    <w:right w:val="none" w:sz="0" w:space="0" w:color="auto"/>
                  </w:divBdr>
                  <w:divsChild>
                    <w:div w:id="36051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4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pseah.safeguardingsupporthub.org" TargetMode="External"/><Relationship Id="rId18" Type="http://schemas.openxmlformats.org/officeDocument/2006/relationships/footer" Target="footer2.xml"/><Relationship Id="rId26" Type="http://schemas.openxmlformats.org/officeDocument/2006/relationships/hyperlink" Target="mailto:ODA.Safeguarding@defra.gov.uk" TargetMode="External"/><Relationship Id="rId3" Type="http://schemas.openxmlformats.org/officeDocument/2006/relationships/customXml" Target="../customXml/item3.xml"/><Relationship Id="rId21" Type="http://schemas.openxmlformats.org/officeDocument/2006/relationships/hyperlink" Target="mailto:reports@oceangrants.org.uk" TargetMode="External"/><Relationship Id="rId7" Type="http://schemas.openxmlformats.org/officeDocument/2006/relationships/styles" Target="styles.xml"/><Relationship Id="rId12" Type="http://schemas.openxmlformats.org/officeDocument/2006/relationships/hyperlink" Target="https://capseah.safeguardingsupporthub.org/common-approach" TargetMode="External"/><Relationship Id="rId17" Type="http://schemas.openxmlformats.org/officeDocument/2006/relationships/footer" Target="footer1.xml"/><Relationship Id="rId25" Type="http://schemas.openxmlformats.org/officeDocument/2006/relationships/hyperlink" Target="mailto:reports@oceangrants.org.u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isconduct-disclosure-scheme.org/"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unsceb.org/screening-database-clearchec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seah.safeguardingsupporthub.org/guidance" TargetMode="External"/><Relationship Id="rId22" Type="http://schemas.openxmlformats.org/officeDocument/2006/relationships/hyperlink" Target="https://misconduct-disclosure-scheme.org/" TargetMode="External"/><Relationship Id="rId27"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ilidh-young.LTSI\Application%20Data\Microsoft\Templates\Eilidh%20blank.dot" TargetMode="External"/></Relationships>
</file>

<file path=word/theme/theme1.xml><?xml version="1.0" encoding="utf-8"?>
<a:theme xmlns:a="http://schemas.openxmlformats.org/drawingml/2006/main" name="Spirit">
  <a:themeElements>
    <a:clrScheme name="SPIRIT">
      <a:dk1>
        <a:srgbClr val="303030"/>
      </a:dk1>
      <a:lt1>
        <a:srgbClr val="FFFFFF"/>
      </a:lt1>
      <a:dk2>
        <a:srgbClr val="004057"/>
      </a:dk2>
      <a:lt2>
        <a:srgbClr val="E7F1F5"/>
      </a:lt2>
      <a:accent1>
        <a:srgbClr val="B7D6E1"/>
      </a:accent1>
      <a:accent2>
        <a:srgbClr val="87BACE"/>
      </a:accent2>
      <a:accent3>
        <a:srgbClr val="569EBA"/>
      </a:accent3>
      <a:accent4>
        <a:srgbClr val="0E759C"/>
      </a:accent4>
      <a:accent5>
        <a:srgbClr val="0A526D"/>
      </a:accent5>
      <a:accent6>
        <a:srgbClr val="80D0DB"/>
      </a:accent6>
      <a:hlink>
        <a:srgbClr val="1B10F8"/>
      </a:hlink>
      <a:folHlink>
        <a:srgbClr val="800080"/>
      </a:folHlink>
    </a:clrScheme>
    <a:fontScheme name="NIRAS Theme Fonts">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pirit_Ny" id="{927BD6AA-0250-4427-A89E-958D4C582490}" vid="{8C034DB2-14B5-4727-8340-AAD59905306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40D5865A172BA44B7EBF88835C3E652" ma:contentTypeVersion="21" ma:contentTypeDescription="Create a new document." ma:contentTypeScope="" ma:versionID="f641c01543113636f1c3b42d6e26b980">
  <xsd:schema xmlns:xsd="http://www.w3.org/2001/XMLSchema" xmlns:xs="http://www.w3.org/2001/XMLSchema" xmlns:p="http://schemas.microsoft.com/office/2006/metadata/properties" xmlns:ns1="http://schemas.microsoft.com/sharepoint/v3" xmlns:ns2="662745e8-e224-48e8-a2e3-254862b8c2f5" xmlns:ns3="6919dd6b-1d98-4d16-b113-da5acb086e86" xmlns:ns4="2dbdf359-b403-4100-b363-c92574cf5258" targetNamespace="http://schemas.microsoft.com/office/2006/metadata/properties" ma:root="true" ma:fieldsID="380e55b647537d21153907e07afe765f" ns1:_="" ns2:_="" ns3:_="" ns4:_="">
    <xsd:import namespace="http://schemas.microsoft.com/sharepoint/v3"/>
    <xsd:import namespace="662745e8-e224-48e8-a2e3-254862b8c2f5"/>
    <xsd:import namespace="6919dd6b-1d98-4d16-b113-da5acb086e86"/>
    <xsd:import namespace="2dbdf359-b403-4100-b363-c92574cf525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Details" minOccurs="0"/>
                <xsd:element ref="ns4:MediaServiceSearchProperties" minOccurs="0"/>
                <xsd:element ref="ns4:MediaServiceMetadata" minOccurs="0"/>
                <xsd:element ref="ns4:MediaServiceFastMetadata" minOccurs="0"/>
                <xsd:element ref="ns4:MediaServiceObjectDetectorVersions" minOccurs="0"/>
                <xsd:element ref="ns1:_ip_UnifiedCompliancePolicyProperties" minOccurs="0"/>
                <xsd:element ref="ns1:_ip_UnifiedCompliancePolicyUIAction" minOccurs="0"/>
                <xsd:element ref="ns3:SharedWithUser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67fa2a-b555-4732-8ef0-b96a70677837}" ma:internalName="TaxCatchAll" ma:showField="CatchAllData"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67fa2a-b555-4732-8ef0-b96a70677837}" ma:internalName="TaxCatchAllLabel" ma:readOnly="true" ma:showField="CatchAllDataLabel"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cean Community Empowerment and Nature" ma:internalName="Team" ma:readOnly="false">
      <xsd:simpleType>
        <xsd:restriction base="dms:Text"/>
      </xsd:simpleType>
    </xsd:element>
    <xsd:element name="Topic" ma:index="20" nillable="true" ma:displayName="Topic" ma:default="Core Documen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19dd6b-1d98-4d16-b113-da5acb086e86" elementFormDefault="qualified">
    <xsd:import namespace="http://schemas.microsoft.com/office/2006/documentManagement/types"/>
    <xsd:import namespace="http://schemas.microsoft.com/office/infopath/2007/PartnerControls"/>
    <xsd:element name="SharedWithDetails" ma:index="25"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bdf359-b403-4100-b363-c92574cf5258" elementFormDefault="qualified">
    <xsd:import namespace="http://schemas.microsoft.com/office/2006/documentManagement/types"/>
    <xsd:import namespace="http://schemas.microsoft.com/office/infopath/2007/PartnerControls"/>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9</Value>
      <Value>10</Value>
      <Value>2</Value>
      <Value>1</Value>
      <Value>3</Value>
    </TaxCatchAll>
    <lcf76f155ced4ddcb4097134ff3c332f xmlns="2dbdf359-b403-4100-b363-c92574cf5258">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Core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Ocean Community Empowerment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22CD8-6957-42D2-BA23-A99162CFE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919dd6b-1d98-4d16-b113-da5acb086e86"/>
    <ds:schemaRef ds:uri="2dbdf359-b403-4100-b363-c92574cf5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35CCB-1261-4BE9-857A-101999482605}">
  <ds:schemaRefs>
    <ds:schemaRef ds:uri="Microsoft.SharePoint.Taxonomy.ContentTypeSync"/>
  </ds:schemaRefs>
</ds:datastoreItem>
</file>

<file path=customXml/itemProps3.xml><?xml version="1.0" encoding="utf-8"?>
<ds:datastoreItem xmlns:ds="http://schemas.openxmlformats.org/officeDocument/2006/customXml" ds:itemID="{BABE37D7-3633-45DD-AEF8-886487496BBD}">
  <ds:schemaRefs>
    <ds:schemaRef ds:uri="6919dd6b-1d98-4d16-b113-da5acb086e86"/>
    <ds:schemaRef ds:uri="http://purl.org/dc/terms/"/>
    <ds:schemaRef ds:uri="http://purl.org/dc/dcmitype/"/>
    <ds:schemaRef ds:uri="http://schemas.microsoft.com/office/2006/documentManagement/types"/>
    <ds:schemaRef ds:uri="2dbdf359-b403-4100-b363-c92574cf5258"/>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662745e8-e224-48e8-a2e3-254862b8c2f5"/>
    <ds:schemaRef ds:uri="http://schemas.microsoft.com/sharepoint/v3"/>
    <ds:schemaRef ds:uri="http://purl.org/dc/elements/1.1/"/>
  </ds:schemaRefs>
</ds:datastoreItem>
</file>

<file path=customXml/itemProps4.xml><?xml version="1.0" encoding="utf-8"?>
<ds:datastoreItem xmlns:ds="http://schemas.openxmlformats.org/officeDocument/2006/customXml" ds:itemID="{A4CDB9D6-87E7-44E4-A992-2483D280E670}">
  <ds:schemaRefs>
    <ds:schemaRef ds:uri="http://schemas.microsoft.com/sharepoint/v3/contenttype/forms"/>
  </ds:schemaRefs>
</ds:datastoreItem>
</file>

<file path=customXml/itemProps5.xml><?xml version="1.0" encoding="utf-8"?>
<ds:datastoreItem xmlns:ds="http://schemas.openxmlformats.org/officeDocument/2006/customXml" ds:itemID="{CC1AD2DC-0A67-4DBE-90D2-B18BD860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Eilidh blank</Template>
  <TotalTime>0</TotalTime>
  <Pages>8</Pages>
  <Words>2335</Words>
  <Characters>13574</Characters>
  <Application>Microsoft Office Word</Application>
  <DocSecurity>0</DocSecurity>
  <Lines>338</Lines>
  <Paragraphs>118</Paragraphs>
  <ScaleCrop>false</ScaleCrop>
  <Company>LTS INTERNATIONAL</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Pinion</dc:creator>
  <cp:lastModifiedBy>Abida Peters (ABPE)</cp:lastModifiedBy>
  <cp:revision>70</cp:revision>
  <cp:lastPrinted>1901-01-01T00:00:00Z</cp:lastPrinted>
  <dcterms:created xsi:type="dcterms:W3CDTF">2025-11-25T11:50:00Z</dcterms:created>
  <dcterms:modified xsi:type="dcterms:W3CDTF">2026-03-11T12:55:00Z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1892560526</vt:i4>
  </property>
  <property fmtid="{D5CDD505-2E9C-101B-9397-08002B2CF9AE}" pid="3" name="MediaServiceImageTags">
    <vt:lpwstr/>
  </property>
  <property fmtid="{D5CDD505-2E9C-101B-9397-08002B2CF9AE}" pid="4" name="NIRASQAStatus">
    <vt:lpwstr/>
  </property>
  <property fmtid="{D5CDD505-2E9C-101B-9397-08002B2CF9AE}" pid="5" name="NIRASQAGroup">
    <vt:lpwstr/>
  </property>
  <property fmtid="{D5CDD505-2E9C-101B-9397-08002B2CF9AE}" pid="6" name="NIRASDocumentKind">
    <vt:lpwstr/>
  </property>
  <property fmtid="{D5CDD505-2E9C-101B-9397-08002B2CF9AE}" pid="7" name="InformationType">
    <vt:lpwstr/>
  </property>
  <property fmtid="{D5CDD505-2E9C-101B-9397-08002B2CF9AE}" pid="8" name="_dlc_DocId">
    <vt:lpwstr> </vt:lpwstr>
  </property>
  <property fmtid="{D5CDD505-2E9C-101B-9397-08002B2CF9AE}" pid="9" name="Distribution">
    <vt:lpwstr>10;#Internal Core Defra|836ac8df-3ab9-4c95-a1f0-07f825804935</vt:lpwstr>
  </property>
  <property fmtid="{D5CDD505-2E9C-101B-9397-08002B2CF9AE}" pid="10" name="HOCopyrightLevel">
    <vt:lpwstr>1;#Crown|69589897-2828-4761-976e-717fd8e631c9</vt:lpwstr>
  </property>
  <property fmtid="{D5CDD505-2E9C-101B-9397-08002B2CF9AE}" pid="11" name="HOGovernmentSecurityClassification">
    <vt:lpwstr>2;#Official|14c80daa-741b-422c-9722-f71693c9ede4</vt:lpwstr>
  </property>
  <property fmtid="{D5CDD505-2E9C-101B-9397-08002B2CF9AE}" pid="12" name="HOSiteType">
    <vt:lpwstr>9;#Team|ff0485df-0575-416f-802f-e999165821b7</vt:lpwstr>
  </property>
  <property fmtid="{D5CDD505-2E9C-101B-9397-08002B2CF9AE}" pid="13" name="OrganisationalUnit">
    <vt:lpwstr>3;#Core Defra|026223dd-2e56-4615-868d-7c5bfd566810</vt:lpwstr>
  </property>
  <property fmtid="{D5CDD505-2E9C-101B-9397-08002B2CF9AE}" pid="14" name="ContentTypeId">
    <vt:lpwstr>0x010100A5BF1C78D9F64B679A5EBDE1C6598EBC0100540D5865A172BA44B7EBF88835C3E652</vt:lpwstr>
  </property>
  <property fmtid="{D5CDD505-2E9C-101B-9397-08002B2CF9AE}" pid="15" name="_dlc_DocIdItemGuid">
    <vt:lpwstr>0c035d46-227c-4651-a50b-ee4cb3a6f2ff</vt:lpwstr>
  </property>
  <property fmtid="{D5CDD505-2E9C-101B-9397-08002B2CF9AE}" pid="16" name="NIRASScale">
    <vt:lpwstr/>
  </property>
  <property fmtid="{D5CDD505-2E9C-101B-9397-08002B2CF9AE}" pid="17" name="NIRASPriceListSupplier">
    <vt:lpwstr/>
  </property>
  <property fmtid="{D5CDD505-2E9C-101B-9397-08002B2CF9AE}" pid="18" name="NIRASAI">
    <vt:lpwstr>14;#Project deliverable documents|1cd49955-4523-4187-bbc1-7c4210af47ff</vt:lpwstr>
  </property>
  <property fmtid="{D5CDD505-2E9C-101B-9397-08002B2CF9AE}" pid="19" name="NIRASPriceListTechnology">
    <vt:lpwstr/>
  </property>
  <property fmtid="{D5CDD505-2E9C-101B-9397-08002B2CF9AE}" pid="20" name="docLang">
    <vt:lpwstr>en</vt:lpwstr>
  </property>
  <property fmtid="{D5CDD505-2E9C-101B-9397-08002B2CF9AE}" pid="21" name="_dlc_DocId_src">
    <vt:lpwstr>{Module.FooterText}</vt:lpwstr>
  </property>
  <property fmtid="{D5CDD505-2E9C-101B-9397-08002B2CF9AE}" pid="22" name="ApplyLanguageRun">
    <vt:lpwstr>true</vt:lpwstr>
  </property>
</Properties>
</file>